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33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33390"/>
                    </a:xfrm>
                    <a:prstGeom prst="rect">
                      <a:avLst/>
                    </a:prstGeom>
                    <a:noFill/>
                  </pic:spPr>
                </pic:pic>
              </a:graphicData>
            </a:graphic>
          </wp:anchor>
        </w:drawing>
      </w:r>
    </w:p>
    <w:p>
      <w:pPr>
        <w:sectPr>
          <w:pgSz w:w="11900" w:h="16838" w:orient="portrait"/>
          <w:cols w:equalWidth="0" w:num="1">
            <w:col w:w="10940"/>
          </w:cols>
          <w:pgMar w:left="480" w:top="230" w:right="479" w:bottom="2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Levy Elliott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NuCana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NCNA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2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NUCANA PLC</w:t>
            </w:r>
          </w:p>
        </w:tc>
        <w:tc>
          <w:tcPr>
            <w:tcW w:w="1220" w:type="dxa"/>
            <w:vAlign w:val="bottom"/>
          </w:tcPr>
          <w:p>
            <w:pPr>
              <w:spacing w:after="0"/>
              <w:rPr>
                <w:sz w:val="24"/>
                <w:szCs w:val="24"/>
                <w:color w:val="auto"/>
              </w:rPr>
            </w:pPr>
          </w:p>
        </w:tc>
      </w:tr>
      <w:tr>
        <w:trPr>
          <w:trHeight w:val="30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LOCHSIDE WAY</w:t>
            </w:r>
          </w:p>
        </w:tc>
        <w:tc>
          <w:tcPr>
            <w:tcW w:w="122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EDINBURGH X0</w:t>
            </w:r>
          </w:p>
        </w:tc>
        <w:tc>
          <w:tcPr>
            <w:tcW w:w="12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EH12 9DT</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gridSpan w:val="3"/>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9"/>
              </w:rPr>
              <w:t>Ownership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ind w:left="960"/>
              <w:spacing w:after="0"/>
              <w:rPr>
                <w:sz w:val="20"/>
                <w:szCs w:val="20"/>
                <w:color w:val="auto"/>
              </w:rPr>
            </w:pPr>
            <w:r>
              <w:rPr>
                <w:rFonts w:ascii="Times New Roman" w:cs="Times New Roman" w:eastAsia="Times New Roman" w:hAnsi="Times New Roman"/>
                <w:sz w:val="20"/>
                <w:szCs w:val="20"/>
                <w:color w:val="0000FF"/>
              </w:rPr>
              <w:t>13</w:t>
            </w:r>
          </w:p>
        </w:tc>
        <w:tc>
          <w:tcPr>
            <w:tcW w:w="1000" w:type="dxa"/>
            <w:vAlign w:val="bottom"/>
          </w:tcPr>
          <w:p>
            <w:pPr>
              <w:ind w:left="82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40" w:type="dxa"/>
            <w:vAlign w:val="bottom"/>
            <w:tcBorders>
              <w:bottom w:val="single" w:sz="8" w:color="2C2C2C"/>
            </w:tcBorders>
            <w:gridSpan w:val="5"/>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5"/>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40" w:type="dxa"/>
            <w:vAlign w:val="bottom"/>
          </w:tcPr>
          <w:p>
            <w:pPr>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100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80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00" w:type="dxa"/>
            <w:vAlign w:val="bottom"/>
          </w:tcPr>
          <w:p>
            <w:pPr>
              <w:ind w:left="420"/>
              <w:spacing w:after="0"/>
              <w:rPr>
                <w:sz w:val="20"/>
                <w:szCs w:val="20"/>
                <w:color w:val="auto"/>
              </w:rPr>
            </w:pPr>
            <w:r>
              <w:rPr>
                <w:rFonts w:ascii="Times New Roman" w:cs="Times New Roman" w:eastAsia="Times New Roman" w:hAnsi="Times New Roman"/>
                <w:sz w:val="20"/>
                <w:szCs w:val="20"/>
                <w:color w:val="0000FF"/>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008000"/>
              </w:rPr>
              <w:t>(1)</w:t>
            </w:r>
          </w:p>
        </w:tc>
        <w:tc>
          <w:tcPr>
            <w:tcW w:w="4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sectPr>
          <w:pgSz w:w="11900" w:h="16838" w:orient="portrait"/>
          <w:cols w:equalWidth="0" w:num="1">
            <w:col w:w="10940"/>
          </w:cols>
          <w:pgMar w:left="480" w:top="230" w:right="479" w:bottom="25" w:gutter="0" w:footer="0" w:header="0"/>
          <w:type w:val="continuous"/>
        </w:sectPr>
      </w:pPr>
    </w:p>
    <w:p>
      <w:pPr>
        <w:jc w:val="right"/>
        <w:ind w:right="1920"/>
        <w:spacing w:after="0"/>
        <w:rPr>
          <w:sz w:val="20"/>
          <w:szCs w:val="20"/>
          <w:color w:val="auto"/>
        </w:rPr>
      </w:pPr>
      <w:r>
        <w:rPr>
          <w:sz w:val="1"/>
          <w:szCs w:val="1"/>
          <w:color w:val="auto"/>
        </w:rPr>
        <w:drawing>
          <wp:inline distT="0" distB="0" distL="0" distR="0">
            <wp:extent cx="34925" cy="273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925" cy="273050"/>
                    </a:xfrm>
                    <a:prstGeom prst="rect">
                      <a:avLst/>
                    </a:prstGeom>
                    <a:noFill/>
                    <a:ln>
                      <a:noFill/>
                    </a:ln>
                  </pic:spPr>
                </pic:pic>
              </a:graphicData>
            </a:graphic>
          </wp:inline>
        </w:drawing>
      </w:r>
      <w:r>
        <w:rPr>
          <w:rFonts w:ascii="Times New Roman" w:cs="Times New Roman" w:eastAsia="Times New Roman" w:hAnsi="Times New Roman"/>
          <w:sz w:val="17"/>
          <w:szCs w:val="17"/>
          <w:color w:val="0000FF"/>
        </w:rPr>
        <w:t xml:space="preserve"> Options</w:t>
      </w:r>
    </w:p>
    <w:p>
      <w:pPr>
        <w:spacing w:after="0" w:line="39" w:lineRule="exact"/>
        <w:rPr>
          <w:sz w:val="24"/>
          <w:szCs w:val="24"/>
          <w:color w:val="auto"/>
        </w:rPr>
      </w:pPr>
    </w:p>
    <w:p>
      <w:pPr>
        <w:jc w:val="right"/>
        <w:ind w:right="1920"/>
        <w:spacing w:after="0"/>
        <w:rPr>
          <w:sz w:val="20"/>
          <w:szCs w:val="20"/>
          <w:color w:val="auto"/>
        </w:rPr>
      </w:pPr>
      <w:r>
        <w:rPr>
          <w:rFonts w:ascii="Times New Roman" w:cs="Times New Roman" w:eastAsia="Times New Roman" w:hAnsi="Times New Roman"/>
          <w:sz w:val="20"/>
          <w:szCs w:val="20"/>
          <w:color w:val="0000FF"/>
        </w:rPr>
        <w:t>Options</w:t>
      </w:r>
    </w:p>
    <w:p>
      <w:pPr>
        <w:spacing w:after="0" w:line="44" w:lineRule="exact"/>
        <w:rPr>
          <w:sz w:val="24"/>
          <w:szCs w:val="24"/>
          <w:color w:val="auto"/>
        </w:rPr>
      </w:pPr>
    </w:p>
    <w:p>
      <w:pPr>
        <w:jc w:val="right"/>
        <w:ind w:right="1920"/>
        <w:spacing w:after="0"/>
        <w:rPr>
          <w:sz w:val="20"/>
          <w:szCs w:val="20"/>
          <w:color w:val="auto"/>
        </w:rPr>
      </w:pPr>
      <w:r>
        <w:rPr>
          <w:sz w:val="1"/>
          <w:szCs w:val="1"/>
          <w:color w:val="auto"/>
        </w:rPr>
        <w:drawing>
          <wp:inline distT="0" distB="0" distL="0" distR="0">
            <wp:extent cx="34925" cy="273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925" cy="273050"/>
                    </a:xfrm>
                    <a:prstGeom prst="rect">
                      <a:avLst/>
                    </a:prstGeom>
                    <a:noFill/>
                    <a:ln>
                      <a:noFill/>
                    </a:ln>
                  </pic:spPr>
                </pic:pic>
              </a:graphicData>
            </a:graphic>
          </wp:inline>
        </w:drawing>
      </w:r>
      <w:r>
        <w:rPr>
          <w:rFonts w:ascii="Times New Roman" w:cs="Times New Roman" w:eastAsia="Times New Roman" w:hAnsi="Times New Roman"/>
          <w:sz w:val="17"/>
          <w:szCs w:val="17"/>
          <w:color w:val="0000FF"/>
        </w:rPr>
        <w:t xml:space="preserve"> Options</w:t>
      </w:r>
    </w:p>
    <w:p>
      <w:pPr>
        <w:spacing w:after="0" w:line="39" w:lineRule="exact"/>
        <w:rPr>
          <w:sz w:val="24"/>
          <w:szCs w:val="24"/>
          <w:color w:val="auto"/>
        </w:rPr>
      </w:pPr>
    </w:p>
    <w:p>
      <w:pPr>
        <w:jc w:val="right"/>
        <w:ind w:right="1920"/>
        <w:spacing w:after="0"/>
        <w:rPr>
          <w:sz w:val="20"/>
          <w:szCs w:val="20"/>
          <w:color w:val="auto"/>
        </w:rPr>
      </w:pPr>
      <w:r>
        <w:rPr>
          <w:rFonts w:ascii="Times New Roman" w:cs="Times New Roman" w:eastAsia="Times New Roman" w:hAnsi="Times New Roman"/>
          <w:sz w:val="20"/>
          <w:szCs w:val="20"/>
          <w:color w:val="0000FF"/>
        </w:rPr>
        <w:t>Options</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5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w w:val="92"/>
              </w:rPr>
              <w:t>(2)</w:t>
            </w: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008000"/>
              </w:rPr>
              <w:t>(2)</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0000FF"/>
              </w:rPr>
              <w:t>23,811,896</w:t>
            </w: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540" w:type="dxa"/>
            <w:vAlign w:val="bottom"/>
          </w:tcPr>
          <w:p>
            <w:pPr>
              <w:ind w:left="400"/>
              <w:spacing w:after="0"/>
              <w:rPr>
                <w:sz w:val="20"/>
                <w:szCs w:val="20"/>
                <w:color w:val="auto"/>
              </w:rPr>
            </w:pPr>
            <w:r>
              <w:rPr>
                <w:rFonts w:ascii="Times New Roman" w:cs="Times New Roman" w:eastAsia="Times New Roman" w:hAnsi="Times New Roman"/>
                <w:sz w:val="20"/>
                <w:szCs w:val="20"/>
                <w:color w:val="0000FF"/>
                <w:w w:val="82"/>
              </w:rPr>
              <w:t>D</w:t>
            </w:r>
          </w:p>
        </w:tc>
      </w:tr>
      <w:tr>
        <w:trPr>
          <w:trHeight w:val="390"/>
        </w:trPr>
        <w:tc>
          <w:tcPr>
            <w:tcW w:w="5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w w:val="92"/>
              </w:rPr>
              <w:t>(3)</w:t>
            </w: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008000"/>
              </w:rPr>
              <w:t>(3)</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0000FF"/>
              </w:rPr>
              <w:t>23,811,896</w:t>
            </w: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540" w:type="dxa"/>
            <w:vAlign w:val="bottom"/>
          </w:tcPr>
          <w:p>
            <w:pPr>
              <w:ind w:left="400"/>
              <w:spacing w:after="0"/>
              <w:rPr>
                <w:sz w:val="20"/>
                <w:szCs w:val="20"/>
                <w:color w:val="auto"/>
              </w:rPr>
            </w:pPr>
            <w:r>
              <w:rPr>
                <w:rFonts w:ascii="Times New Roman" w:cs="Times New Roman" w:eastAsia="Times New Roman" w:hAnsi="Times New Roman"/>
                <w:sz w:val="20"/>
                <w:szCs w:val="20"/>
                <w:color w:val="0000FF"/>
                <w:w w:val="82"/>
              </w:rPr>
              <w:t>D</w:t>
            </w:r>
          </w:p>
        </w:tc>
      </w:tr>
      <w:tr>
        <w:trPr>
          <w:trHeight w:val="390"/>
        </w:trPr>
        <w:tc>
          <w:tcPr>
            <w:tcW w:w="5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w w:val="92"/>
              </w:rPr>
              <w:t>(4)</w:t>
            </w: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008000"/>
              </w:rPr>
              <w:t>(4)</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0000FF"/>
              </w:rPr>
              <w:t>28,631,517</w:t>
            </w: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(4)</w:t>
            </w:r>
          </w:p>
        </w:tc>
        <w:tc>
          <w:tcPr>
            <w:tcW w:w="540" w:type="dxa"/>
            <w:vAlign w:val="bottom"/>
          </w:tcPr>
          <w:p>
            <w:pPr>
              <w:ind w:left="400"/>
              <w:spacing w:after="0"/>
              <w:rPr>
                <w:sz w:val="20"/>
                <w:szCs w:val="20"/>
                <w:color w:val="auto"/>
              </w:rPr>
            </w:pPr>
            <w:r>
              <w:rPr>
                <w:rFonts w:ascii="Times New Roman" w:cs="Times New Roman" w:eastAsia="Times New Roman" w:hAnsi="Times New Roman"/>
                <w:sz w:val="20"/>
                <w:szCs w:val="20"/>
                <w:color w:val="0000FF"/>
                <w:w w:val="82"/>
              </w:rPr>
              <w:t>D</w:t>
            </w:r>
          </w:p>
        </w:tc>
      </w:tr>
      <w:tr>
        <w:trPr>
          <w:trHeight w:val="390"/>
        </w:trPr>
        <w:tc>
          <w:tcPr>
            <w:tcW w:w="5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w w:val="92"/>
              </w:rPr>
              <w:t>(5)</w:t>
            </w: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008000"/>
              </w:rPr>
              <w:t>(5)</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0000FF"/>
              </w:rPr>
              <w:t>28,631,517</w:t>
            </w: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(5)</w:t>
            </w:r>
          </w:p>
        </w:tc>
        <w:tc>
          <w:tcPr>
            <w:tcW w:w="540" w:type="dxa"/>
            <w:vAlign w:val="bottom"/>
          </w:tcPr>
          <w:p>
            <w:pPr>
              <w:ind w:left="400"/>
              <w:spacing w:after="0"/>
              <w:rPr>
                <w:sz w:val="20"/>
                <w:szCs w:val="20"/>
                <w:color w:val="auto"/>
              </w:rPr>
            </w:pPr>
            <w:r>
              <w:rPr>
                <w:rFonts w:ascii="Times New Roman" w:cs="Times New Roman" w:eastAsia="Times New Roman" w:hAnsi="Times New Roman"/>
                <w:sz w:val="20"/>
                <w:szCs w:val="20"/>
                <w:color w:val="0000FF"/>
                <w:w w:val="82"/>
              </w:rPr>
              <w:t>D</w:t>
            </w:r>
          </w:p>
        </w:tc>
      </w:tr>
    </w:tbl>
    <w:p>
      <w:pPr>
        <w:spacing w:after="0" w:line="122" w:lineRule="exact"/>
        <w:rPr>
          <w:sz w:val="24"/>
          <w:szCs w:val="24"/>
          <w:color w:val="auto"/>
        </w:rPr>
      </w:pPr>
    </w:p>
    <w:p>
      <w:pPr>
        <w:sectPr>
          <w:pgSz w:w="11900" w:h="16838" w:orient="portrait"/>
          <w:cols w:equalWidth="0" w:num="2">
            <w:col w:w="2620" w:space="720"/>
            <w:col w:w="7600"/>
          </w:cols>
          <w:pgMar w:left="480" w:top="230" w:right="479" w:bottom="25" w:gutter="0" w:footer="0" w:header="0"/>
          <w:type w:val="continuous"/>
        </w:sect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5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5,000 ordinary shares, nominal value 0.0004 Pounds Sterling per share (the "Ordinary Shares"), of NuCana plc (the "Company"). ADSs have no expiration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underlying this option have an exercise price of 0.004 Pounds Sterling, completed vesting on June 20, 2025 and expire June 20, 2035.</w:t>
      </w:r>
    </w:p>
    <w:p>
      <w:pPr>
        <w:spacing w:after="0" w:line="52"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underlying this option have an exercise price of 0.0004 Pounds Sterling and will vest in full on June 20, 2026, subject to the Reporting Person's continued service with the Company through the applicable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underlying this option have an exercise price of 0.0005 Pounds Sterling, completed vesting on January 14, 2026 and expire January 14, 2036.</w:t>
      </w:r>
    </w:p>
    <w:p>
      <w:pPr>
        <w:spacing w:after="0" w:line="52" w:lineRule="exact"/>
        <w:rPr>
          <w:rFonts w:ascii="Times New Roman" w:cs="Times New Roman" w:eastAsia="Times New Roman" w:hAnsi="Times New Roman"/>
          <w:sz w:val="15"/>
          <w:szCs w:val="15"/>
          <w:color w:val="008000"/>
        </w:rPr>
      </w:pPr>
    </w:p>
    <w:p>
      <w:pPr>
        <w:ind w:left="40" w:right="6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underlying this option have an exercise price of 0.0004 Pounds Sterling and will vest in full on January 14, 2027, subject to the Reporting Person's continued service with the Company through the applicable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40"/>
        <w:spacing w:after="0" w:line="259" w:lineRule="auto"/>
        <w:rPr>
          <w:sz w:val="20"/>
          <w:szCs w:val="20"/>
          <w:color w:val="auto"/>
        </w:rPr>
      </w:pPr>
      <w:r>
        <w:rPr>
          <w:rFonts w:ascii="Times New Roman" w:cs="Times New Roman" w:eastAsia="Times New Roman" w:hAnsi="Times New Roman"/>
          <w:sz w:val="15"/>
          <w:szCs w:val="15"/>
          <w:color w:val="008000"/>
        </w:rPr>
        <w:t>This Form 3 is being filed late due to unanticipated delays in receiving the Reporting Person's EDGAR codes, which delays the Reporting Person understands were due to the high volume of applications at the time. Exhibit 24.1 - Power of Attorney</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Ian Webster,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Elliott Levy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8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5"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jc w:val="both"/>
        <w:ind w:firstLine="729"/>
        <w:spacing w:after="0" w:line="24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Hugh Griffith and Ian Webster, the Chief Executive Officer and Interim Chief Financial Officer, respectively, of NuCana plc (the “Company”), and John T. Rudy, Allyson Wilkinson, Gianna M. Nappi, Michelle St Francis, Robyn M. Frattali and Autumn N. Mays of Mintz, Levin, Cohn, Ferris, Glovsky and Popeo, P.C., signing singly, with full power of substitution, the undersigned’s true and lawful attorney-in-fact to:</w:t>
      </w:r>
    </w:p>
    <w:p>
      <w:pPr>
        <w:spacing w:after="0" w:line="203" w:lineRule="exact"/>
        <w:rPr>
          <w:sz w:val="20"/>
          <w:szCs w:val="20"/>
          <w:color w:val="auto"/>
        </w:rPr>
      </w:pPr>
    </w:p>
    <w:p>
      <w:pPr>
        <w:ind w:left="1380" w:right="1020" w:hanging="651"/>
        <w:spacing w:after="0" w:line="273"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 director of the Company, forms and authentication documents for EDGAR Filing Access;</w:t>
      </w:r>
    </w:p>
    <w:p>
      <w:pPr>
        <w:spacing w:after="0" w:line="189" w:lineRule="exact"/>
        <w:rPr>
          <w:rFonts w:ascii="Times New Roman" w:cs="Times New Roman" w:eastAsia="Times New Roman" w:hAnsi="Times New Roman"/>
          <w:sz w:val="22"/>
          <w:szCs w:val="22"/>
          <w:color w:val="auto"/>
        </w:rPr>
      </w:pPr>
    </w:p>
    <w:p>
      <w:pPr>
        <w:ind w:left="1380" w:right="1020" w:hanging="651"/>
        <w:spacing w:after="0" w:line="273"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complete and execute any such forms and authentication documents;</w:t>
      </w:r>
    </w:p>
    <w:p>
      <w:pPr>
        <w:spacing w:after="0" w:line="189" w:lineRule="exact"/>
        <w:rPr>
          <w:rFonts w:ascii="Times New Roman" w:cs="Times New Roman" w:eastAsia="Times New Roman" w:hAnsi="Times New Roman"/>
          <w:sz w:val="22"/>
          <w:szCs w:val="22"/>
          <w:color w:val="auto"/>
        </w:rPr>
      </w:pPr>
    </w:p>
    <w:p>
      <w:pPr>
        <w:jc w:val="both"/>
        <w:ind w:left="1380" w:right="1020" w:hanging="651"/>
        <w:spacing w:after="0" w:line="257"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 director of the Company, Forms 3, 4 and 5 in accordance with Section 16(a) of the Securities Exchange Act of 1934, as amended, and the rules thereunder;</w:t>
      </w:r>
    </w:p>
    <w:p>
      <w:pPr>
        <w:spacing w:after="0" w:line="207" w:lineRule="exact"/>
        <w:rPr>
          <w:rFonts w:ascii="Times New Roman" w:cs="Times New Roman" w:eastAsia="Times New Roman" w:hAnsi="Times New Roman"/>
          <w:sz w:val="22"/>
          <w:szCs w:val="22"/>
          <w:color w:val="auto"/>
        </w:rPr>
      </w:pPr>
    </w:p>
    <w:p>
      <w:pPr>
        <w:jc w:val="both"/>
        <w:ind w:left="1380" w:right="1020" w:hanging="651"/>
        <w:spacing w:after="0" w:line="252"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213" w:lineRule="exact"/>
        <w:rPr>
          <w:rFonts w:ascii="Times New Roman" w:cs="Times New Roman" w:eastAsia="Times New Roman" w:hAnsi="Times New Roman"/>
          <w:sz w:val="22"/>
          <w:szCs w:val="22"/>
          <w:color w:val="auto"/>
        </w:rPr>
      </w:pPr>
    </w:p>
    <w:p>
      <w:pPr>
        <w:jc w:val="both"/>
        <w:ind w:left="1380" w:right="1020" w:hanging="651"/>
        <w:spacing w:after="0" w:line="248"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7" w:lineRule="exact"/>
        <w:rPr>
          <w:sz w:val="20"/>
          <w:szCs w:val="20"/>
          <w:color w:val="auto"/>
        </w:rPr>
      </w:pPr>
    </w:p>
    <w:p>
      <w:pPr>
        <w:jc w:val="both"/>
        <w:ind w:firstLine="729"/>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1116330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ind w:right="20"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Date: 4/1/2026</w:t>
            </w:r>
          </w:p>
        </w:tc>
        <w:tc>
          <w:tcPr>
            <w:tcW w:w="7240" w:type="dxa"/>
            <w:vAlign w:val="bottom"/>
            <w:gridSpan w:val="3"/>
          </w:tcPr>
          <w:p>
            <w:pPr>
              <w:ind w:left="2320"/>
              <w:spacing w:after="0"/>
              <w:rPr>
                <w:sz w:val="20"/>
                <w:szCs w:val="20"/>
                <w:color w:val="auto"/>
              </w:rPr>
            </w:pPr>
            <w:r>
              <w:rPr>
                <w:rFonts w:ascii="Times New Roman" w:cs="Times New Roman" w:eastAsia="Times New Roman" w:hAnsi="Times New Roman"/>
                <w:sz w:val="22"/>
                <w:szCs w:val="22"/>
                <w:color w:val="auto"/>
              </w:rPr>
              <w:t>By:   /s/ Elliott Levy</w:t>
            </w:r>
          </w:p>
        </w:tc>
      </w:tr>
      <w:tr>
        <w:trPr>
          <w:trHeight w:val="281"/>
        </w:trPr>
        <w:tc>
          <w:tcPr>
            <w:tcW w:w="3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Name:  Elliott Levy</w:t>
            </w:r>
          </w:p>
        </w:tc>
        <w:tc>
          <w:tcPr>
            <w:tcW w:w="600" w:type="dxa"/>
            <w:vAlign w:val="bottom"/>
          </w:tcPr>
          <w:p>
            <w:pPr>
              <w:spacing w:after="0"/>
              <w:rPr>
                <w:sz w:val="24"/>
                <w:szCs w:val="24"/>
                <w:color w:val="auto"/>
              </w:rPr>
            </w:pPr>
          </w:p>
        </w:tc>
      </w:tr>
      <w:tr>
        <w:trPr>
          <w:trHeight w:val="1780"/>
        </w:trPr>
        <w:tc>
          <w:tcPr>
            <w:tcW w:w="37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58745" TargetMode="External"/><Relationship Id="rId11" Type="http://schemas.openxmlformats.org/officeDocument/2006/relationships/hyperlink" Target="http://www.sec.gov/cgi-bin/browse-edgar?action=getcompany&amp;CIK=0001709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2026-04-01T15:59:37Z</dcterms:created>
  <dcterms:modified xsi:type="dcterms:W3CDTF">2026-04-01T15:59:37Z</dcterms:modified>
</cp:coreProperties>
</file>