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40"/>
        <w:jc w:val="left"/>
        <w:rPr/>
      </w:pPr>
      <w:bookmarkStart w:id="0" w:name="d140331d6k.htm"/>
      <w:bookmarkStart w:id="1" w:name="ksd140331d6k"/>
      <w:bookmarkEnd w:id="0"/>
      <w:bookmarkEnd w:id="1"/>
      <w:r>
        <w:rPr/>
        <w:t> </w:t>
      </w:r>
    </w:p>
    <w:p>
      <w:pPr>
        <w:pStyle w:val="TextBody"/>
        <w:bidi w:val="0"/>
        <w:spacing w:before="80" w:after="0"/>
        <w:jc w:val="center"/>
        <w:rPr>
          <w:rFonts w:ascii="Times New Roman" w:hAnsi="Times New Roman"/>
          <w:b/>
          <w:spacing w:val="0"/>
          <w:sz w:val="36"/>
        </w:rPr>
      </w:pPr>
      <w:r>
        <w:rPr>
          <w:rFonts w:ascii="Times New Roman" w:hAnsi="Times New Roman"/>
          <w:b/>
          <w:spacing w:val="0"/>
          <w:sz w:val="36"/>
        </w:rPr>
        <w:t xml:space="preserve">UNITED STATES </w:t>
      </w:r>
    </w:p>
    <w:p>
      <w:pPr>
        <w:pStyle w:val="TextBody"/>
        <w:bidi w:val="0"/>
        <w:spacing w:before="0" w:after="0"/>
        <w:jc w:val="center"/>
        <w:rPr>
          <w:rFonts w:ascii="Times New Roman" w:hAnsi="Times New Roman"/>
          <w:b/>
          <w:spacing w:val="0"/>
          <w:sz w:val="36"/>
        </w:rPr>
      </w:pPr>
      <w:r>
        <w:rPr>
          <w:rFonts w:ascii="Times New Roman" w:hAnsi="Times New Roman"/>
          <w:b/>
          <w:spacing w:val="0"/>
          <w:sz w:val="36"/>
        </w:rPr>
        <w:t xml:space="preserve">SECURITIES AND EXCHANGE COMMISSION </w:t>
      </w:r>
    </w:p>
    <w:p>
      <w:pPr>
        <w:pStyle w:val="TextBody"/>
        <w:bidi w:val="0"/>
        <w:spacing w:before="0" w:after="0"/>
        <w:jc w:val="center"/>
        <w:rPr>
          <w:rFonts w:ascii="Times New Roman" w:hAnsi="Times New Roman"/>
          <w:b/>
          <w:spacing w:val="0"/>
          <w:sz w:val="24"/>
        </w:rPr>
      </w:pPr>
      <w:r>
        <w:rPr>
          <w:rFonts w:ascii="Times New Roman" w:hAnsi="Times New Roman"/>
          <w:b/>
          <w:spacing w:val="0"/>
          <w:sz w:val="24"/>
        </w:rPr>
        <w:t xml:space="preserve">Washington, D.C. 20549 </w:t>
      </w:r>
    </w:p>
    <w:p>
      <w:pPr>
        <w:pStyle w:val="TextBody"/>
        <w:bidi w:val="0"/>
        <w:spacing w:before="0" w:after="0"/>
        <w:jc w:val="left"/>
        <w:rPr>
          <w:spacing w:val="0"/>
        </w:rPr>
      </w:pPr>
      <w:r>
        <w:rPr>
          <w:spacing w:val="0"/>
        </w:rPr>
        <w:t> </w:t>
      </w:r>
    </w:p>
    <w:p>
      <w:pPr>
        <w:pStyle w:val="TextBody"/>
        <w:bidi w:val="0"/>
        <w:spacing w:lineRule="atLeast" w:line="142" w:before="0" w:after="40"/>
        <w:ind w:left="0" w:right="0" w:hanging="0"/>
        <w:jc w:val="center"/>
        <w:rPr/>
      </w:pPr>
      <w:r>
        <w:rPr/>
        <w:t> </w:t>
      </w:r>
    </w:p>
    <w:p>
      <w:pPr>
        <w:pStyle w:val="TextBody"/>
        <w:bidi w:val="0"/>
        <w:spacing w:before="240" w:after="0"/>
        <w:jc w:val="center"/>
        <w:rPr>
          <w:rFonts w:ascii="Times New Roman" w:hAnsi="Times New Roman"/>
          <w:b/>
          <w:spacing w:val="0"/>
          <w:sz w:val="36"/>
        </w:rPr>
      </w:pPr>
      <w:r>
        <w:rPr>
          <w:rFonts w:ascii="Times New Roman" w:hAnsi="Times New Roman"/>
          <w:b/>
          <w:spacing w:val="0"/>
          <w:sz w:val="36"/>
        </w:rPr>
        <w:t>FORM 6-K</w:t>
      </w:r>
    </w:p>
    <w:p>
      <w:pPr>
        <w:pStyle w:val="TextBody"/>
        <w:bidi w:val="0"/>
        <w:spacing w:before="0" w:after="0"/>
        <w:jc w:val="left"/>
        <w:rPr>
          <w:spacing w:val="0"/>
        </w:rPr>
      </w:pPr>
      <w:r>
        <w:rPr>
          <w:spacing w:val="0"/>
        </w:rPr>
        <w:t> </w:t>
      </w:r>
    </w:p>
    <w:p>
      <w:pPr>
        <w:pStyle w:val="TextBody"/>
        <w:bidi w:val="0"/>
        <w:spacing w:lineRule="atLeast" w:line="142" w:before="0" w:after="40"/>
        <w:ind w:left="0" w:right="0" w:hanging="0"/>
        <w:jc w:val="center"/>
        <w:rPr/>
      </w:pPr>
      <w:r>
        <w:rPr/>
        <w:t> </w:t>
      </w:r>
    </w:p>
    <w:p>
      <w:pPr>
        <w:pStyle w:val="TextBody"/>
        <w:bidi w:val="0"/>
        <w:spacing w:before="240" w:after="0"/>
        <w:jc w:val="center"/>
        <w:rPr>
          <w:rFonts w:ascii="Times New Roman" w:hAnsi="Times New Roman"/>
          <w:b/>
          <w:spacing w:val="0"/>
          <w:sz w:val="24"/>
        </w:rPr>
      </w:pPr>
      <w:r>
        <w:rPr>
          <w:rFonts w:ascii="Times New Roman" w:hAnsi="Times New Roman"/>
          <w:b/>
          <w:spacing w:val="0"/>
          <w:sz w:val="24"/>
        </w:rPr>
        <w:t xml:space="preserve">REPORT OF FOREIGN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w:t>
      </w:r>
    </w:p>
    <w:p>
      <w:pPr>
        <w:pStyle w:val="TextBody"/>
        <w:bidi w:val="0"/>
        <w:spacing w:before="0" w:after="0"/>
        <w:jc w:val="center"/>
        <w:rPr>
          <w:rFonts w:ascii="Times New Roman" w:hAnsi="Times New Roman"/>
          <w:b/>
          <w:spacing w:val="0"/>
          <w:sz w:val="24"/>
        </w:rPr>
      </w:pPr>
      <w:r>
        <w:rPr>
          <w:rFonts w:ascii="Times New Roman" w:hAnsi="Times New Roman"/>
          <w:b/>
          <w:spacing w:val="0"/>
          <w:sz w:val="24"/>
        </w:rPr>
        <w:t>RULE 13a-16 OR 15d-16</w:t>
      </w:r>
    </w:p>
    <w:p>
      <w:pPr>
        <w:pStyle w:val="TextBody"/>
        <w:bidi w:val="0"/>
        <w:spacing w:before="0" w:after="0"/>
        <w:jc w:val="center"/>
        <w:rPr>
          <w:rFonts w:ascii="Times New Roman" w:hAnsi="Times New Roman"/>
          <w:b/>
          <w:spacing w:val="0"/>
          <w:sz w:val="24"/>
        </w:rPr>
      </w:pPr>
      <w:r>
        <w:rPr>
          <w:rFonts w:ascii="Times New Roman" w:hAnsi="Times New Roman"/>
          <w:b/>
          <w:spacing w:val="0"/>
          <w:sz w:val="24"/>
        </w:rPr>
        <w:t xml:space="preserve">OF THE SECURITIES EXCHANGE ACT OF 1934 </w:t>
      </w: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 xml:space="preserve">For the month of August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w:t>
      </w: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File No. 001-38215)</w:t>
      </w:r>
    </w:p>
    <w:p>
      <w:pPr>
        <w:pStyle w:val="TextBody"/>
        <w:bidi w:val="0"/>
        <w:spacing w:before="0" w:after="0"/>
        <w:jc w:val="left"/>
        <w:rPr>
          <w:spacing w:val="0"/>
        </w:rPr>
      </w:pPr>
      <w:r>
        <w:rPr>
          <w:spacing w:val="0"/>
        </w:rPr>
        <w:t> </w:t>
      </w:r>
    </w:p>
    <w:p>
      <w:pPr>
        <w:pStyle w:val="TextBody"/>
        <w:bidi w:val="0"/>
        <w:spacing w:lineRule="atLeast" w:line="142" w:before="0" w:after="40"/>
        <w:ind w:left="0" w:right="0" w:hanging="0"/>
        <w:jc w:val="center"/>
        <w:rPr/>
      </w:pPr>
      <w:r>
        <w:rPr/>
        <w:t> </w:t>
      </w:r>
    </w:p>
    <w:p>
      <w:pPr>
        <w:pStyle w:val="TextBody"/>
        <w:bidi w:val="0"/>
        <w:spacing w:before="240" w:after="0"/>
        <w:jc w:val="center"/>
        <w:rPr>
          <w:rFonts w:ascii="Times New Roman" w:hAnsi="Times New Roman"/>
          <w:b/>
          <w:spacing w:val="0"/>
          <w:sz w:val="48"/>
        </w:rPr>
      </w:pPr>
      <w:r>
        <w:rPr>
          <w:rFonts w:ascii="Times New Roman" w:hAnsi="Times New Roman"/>
          <w:b/>
          <w:spacing w:val="0"/>
          <w:sz w:val="48"/>
        </w:rPr>
        <w:t xml:space="preserve">NUCANA PLC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(Translation of registrant’s name into English) </w:t>
      </w:r>
    </w:p>
    <w:p>
      <w:pPr>
        <w:pStyle w:val="TextBody"/>
        <w:bidi w:val="0"/>
        <w:spacing w:before="0" w:after="0"/>
        <w:jc w:val="left"/>
        <w:rPr>
          <w:spacing w:val="0"/>
        </w:rPr>
      </w:pPr>
      <w:r>
        <w:rPr>
          <w:spacing w:val="0"/>
        </w:rPr>
        <w:t> </w:t>
      </w:r>
    </w:p>
    <w:p>
      <w:pPr>
        <w:pStyle w:val="TextBody"/>
        <w:bidi w:val="0"/>
        <w:spacing w:lineRule="atLeast" w:line="142" w:before="0" w:after="40"/>
        <w:ind w:left="0" w:right="0" w:hanging="0"/>
        <w:jc w:val="center"/>
        <w:rPr/>
      </w:pPr>
      <w:r>
        <w:rPr/>
        <w:t> </w:t>
      </w: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 xml:space="preserve">3 Lochside Way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Edinburgh EH12 9DT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United Kingdom </w:t>
      </w:r>
    </w:p>
    <w:p>
      <w:pPr>
        <w:pStyle w:val="TextBody"/>
        <w:bidi w:val="0"/>
        <w:spacing w:before="0" w:after="0"/>
        <w:jc w:val="center"/>
        <w:rPr>
          <w:rFonts w:ascii="Times New Roman" w:hAnsi="Times New Roman"/>
          <w:b/>
          <w:spacing w:val="0"/>
          <w:sz w:val="16"/>
        </w:rPr>
      </w:pPr>
      <w:r>
        <w:rPr>
          <w:rFonts w:ascii="Times New Roman" w:hAnsi="Times New Roman"/>
          <w:b/>
          <w:spacing w:val="0"/>
          <w:sz w:val="16"/>
        </w:rPr>
        <w:t xml:space="preserve">(Address of registrant’s principal executive office) </w:t>
      </w:r>
    </w:p>
    <w:p>
      <w:pPr>
        <w:pStyle w:val="TextBody"/>
        <w:bidi w:val="0"/>
        <w:spacing w:before="0" w:after="0"/>
        <w:jc w:val="left"/>
        <w:rPr>
          <w:spacing w:val="0"/>
        </w:rPr>
      </w:pPr>
      <w:r>
        <w:rPr>
          <w:spacing w:val="0"/>
        </w:rPr>
        <w:t> </w:t>
      </w:r>
    </w:p>
    <w:p>
      <w:pPr>
        <w:pStyle w:val="TextBody"/>
        <w:bidi w:val="0"/>
        <w:spacing w:lineRule="atLeast" w:line="142" w:before="0" w:after="40"/>
        <w:ind w:left="0" w:right="0" w:hanging="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w:t>
      </w:r>
    </w:p>
    <w:p>
      <w:pPr>
        <w:pStyle w:val="TextBody"/>
        <w:bidi w:val="0"/>
        <w:spacing w:before="240" w:after="0"/>
        <w:jc w:val="left"/>
        <w:rPr>
          <w:rFonts w:ascii="Times New Roman" w:hAnsi="Times New Roman"/>
          <w:spacing w:val="0"/>
          <w:sz w:val="20"/>
        </w:rPr>
      </w:pPr>
      <w:r>
        <w:rPr>
          <w:rFonts w:ascii="Times New Roman" w:hAnsi="Times New Roman"/>
          <w:spacing w:val="0"/>
          <w:sz w:val="20"/>
        </w:rPr>
        <w:t>cover Form 20-F or Form 40-F.</w:t>
      </w:r>
    </w:p>
    <w:p>
      <w:pPr>
        <w:pStyle w:val="TextBody"/>
        <w:bidi w:val="0"/>
        <w:spacing w:before="240" w:after="0"/>
        <w:jc w:val="center"/>
        <w:rPr>
          <w:rFonts w:ascii="Times New Roman" w:hAnsi="Times New Roman"/>
          <w:spacing w:val="0"/>
          <w:sz w:val="20"/>
        </w:rPr>
      </w:pPr>
      <w:r>
        <w:rPr>
          <w:rFonts w:ascii="Times New Roman" w:hAnsi="Times New Roman"/>
          <w:spacing w:val="0"/>
          <w:sz w:val="20"/>
        </w:rPr>
        <w:t>Form 20-F ☒   Form 40-F ☐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if the registrant is submitting </w:t>
      </w:r>
    </w:p>
    <w:p>
      <w:pPr>
        <w:pStyle w:val="TextBody"/>
        <w:bidi w:val="0"/>
        <w:spacing w:before="240" w:after="0"/>
        <w:jc w:val="left"/>
        <w:rPr>
          <w:rFonts w:ascii="Times New Roman" w:hAnsi="Times New Roman"/>
          <w:spacing w:val="0"/>
          <w:sz w:val="20"/>
        </w:rPr>
      </w:pPr>
      <w:r>
        <w:rPr>
          <w:rFonts w:ascii="Times New Roman" w:hAnsi="Times New Roman"/>
          <w:spacing w:val="0"/>
          <w:sz w:val="20"/>
        </w:rPr>
        <w:t>the Form 6-K in</w:t>
      </w:r>
    </w:p>
    <w:p>
      <w:pPr>
        <w:pStyle w:val="TextBody"/>
        <w:bidi w:val="0"/>
        <w:spacing w:before="240" w:after="0"/>
        <w:jc w:val="left"/>
        <w:rPr>
          <w:rFonts w:ascii="Times New Roman" w:hAnsi="Times New Roman"/>
          <w:sz w:val="20"/>
        </w:rPr>
      </w:pPr>
      <w:r>
        <w:rPr>
          <w:rFonts w:ascii="Times New Roman" w:hAnsi="Times New Roman"/>
          <w:sz w:val="20"/>
        </w:rPr>
        <w:t xml:space="preserve">paper as permitted by </w:t>
      </w:r>
    </w:p>
    <w:p>
      <w:pPr>
        <w:pStyle w:val="TextBody"/>
        <w:bidi w:val="0"/>
        <w:spacing w:before="240" w:after="0"/>
        <w:jc w:val="left"/>
        <w:rPr>
          <w:rFonts w:ascii="Times New Roman" w:hAnsi="Times New Roman"/>
          <w:spacing w:val="0"/>
          <w:sz w:val="20"/>
        </w:rPr>
      </w:pPr>
      <w:r>
        <w:rPr>
          <w:rFonts w:ascii="Times New Roman" w:hAnsi="Times New Roman"/>
          <w:spacing w:val="0"/>
          <w:sz w:val="20"/>
        </w:rPr>
        <w:t>Regulation S-T Rule 101 (b) (1): ☐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if the registrant is submitting </w:t>
      </w:r>
    </w:p>
    <w:p>
      <w:pPr>
        <w:pStyle w:val="TextBody"/>
        <w:bidi w:val="0"/>
        <w:spacing w:before="240" w:after="0"/>
        <w:jc w:val="left"/>
        <w:rPr>
          <w:rFonts w:ascii="Times New Roman" w:hAnsi="Times New Roman"/>
          <w:spacing w:val="0"/>
          <w:sz w:val="20"/>
        </w:rPr>
      </w:pPr>
      <w:r>
        <w:rPr>
          <w:rFonts w:ascii="Times New Roman" w:hAnsi="Times New Roman"/>
          <w:spacing w:val="0"/>
          <w:sz w:val="20"/>
        </w:rPr>
        <w:t>the Form 6-K in</w:t>
      </w:r>
    </w:p>
    <w:p>
      <w:pPr>
        <w:pStyle w:val="TextBody"/>
        <w:bidi w:val="0"/>
        <w:spacing w:before="240" w:after="0"/>
        <w:jc w:val="left"/>
        <w:rPr>
          <w:rFonts w:ascii="Times New Roman" w:hAnsi="Times New Roman"/>
          <w:sz w:val="20"/>
        </w:rPr>
      </w:pPr>
      <w:r>
        <w:rPr>
          <w:rFonts w:ascii="Times New Roman" w:hAnsi="Times New Roman"/>
          <w:sz w:val="20"/>
        </w:rPr>
        <w:t xml:space="preserve">paper as permitted by </w:t>
      </w:r>
    </w:p>
    <w:p>
      <w:pPr>
        <w:pStyle w:val="TextBody"/>
        <w:bidi w:val="0"/>
        <w:spacing w:before="240" w:after="0"/>
        <w:jc w:val="left"/>
        <w:rPr>
          <w:rFonts w:ascii="Times New Roman" w:hAnsi="Times New Roman"/>
          <w:spacing w:val="0"/>
          <w:sz w:val="20"/>
        </w:rPr>
      </w:pPr>
      <w:r>
        <w:rPr>
          <w:rFonts w:ascii="Times New Roman" w:hAnsi="Times New Roman"/>
          <w:spacing w:val="0"/>
          <w:sz w:val="20"/>
        </w:rPr>
        <w:t>Regulation S-T Rule 101 (b) (7): ☐</w:t>
      </w:r>
    </w:p>
    <w:p>
      <w:pPr>
        <w:pStyle w:val="TextBody"/>
        <w:bidi w:val="0"/>
        <w:spacing w:before="0" w:after="0"/>
        <w:jc w:val="left"/>
        <w:rPr>
          <w:spacing w:val="0"/>
        </w:rPr>
      </w:pPr>
      <w:r>
        <w:rPr>
          <w:spacing w:val="0"/>
        </w:rPr>
        <w:t> </w:t>
      </w:r>
    </w:p>
    <w:p>
      <w:pPr>
        <w:pStyle w:val="TextBody"/>
        <w:bidi w:val="0"/>
        <w:spacing w:lineRule="atLeast" w:line="142" w:before="0" w:after="0"/>
        <w:jc w:val="left"/>
        <w:rPr/>
      </w:pPr>
      <w:r>
        <w:rPr/>
        <w:t> </w:t>
      </w:r>
    </w:p>
    <w:p>
      <w:pPr>
        <w:pStyle w:val="TextBody"/>
        <w:bidi w:val="0"/>
        <w:spacing w:lineRule="atLeast" w:line="142" w:before="0" w:after="40"/>
        <w:jc w:val="left"/>
        <w:rPr/>
      </w:pPr>
      <w:r>
        <w:rPr/>
        <w:t> </w:t>
      </w:r>
    </w:p>
    <w:p>
      <w:pPr>
        <w:pStyle w:val="HorizontalLine"/>
        <w:pBdr>
          <w:bottom w:val="double" w:sz="2" w:space="0" w:color="808080"/>
        </w:pBdr>
        <w:bidi w:val="0"/>
        <w:spacing w:before="0" w:after="283"/>
        <w:jc w:val="left"/>
        <w:rPr/>
      </w:pPr>
      <w:r>
        <w:rPr/>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Other Events </w:t>
      </w:r>
    </w:p>
    <w:p>
      <w:pPr>
        <w:pStyle w:val="TextBody"/>
        <w:bidi w:val="0"/>
        <w:spacing w:before="120" w:after="0"/>
        <w:jc w:val="left"/>
        <w:rPr>
          <w:rFonts w:ascii="Times New Roman" w:hAnsi="Times New Roman"/>
          <w:sz w:val="20"/>
        </w:rPr>
      </w:pPr>
      <w:r>
        <w:rPr>
          <w:rFonts w:ascii="Times New Roman" w:hAnsi="Times New Roman"/>
          <w:sz w:val="20"/>
        </w:rPr>
        <w:t xml:space="preserve">On August 13, 2026, NuCana plc (the “Company”) issued a press release announcing its second quarter 2026 financial results. The Company’s unaudited condensed consolidated financial statements as of June 30, 2026 are attached as Exhibit 99.1 and are incorporated by reference herein. The Company’s Management’s Discussion and Analysis of Financial Condition and Results of Operations is attached as Exhibit 99.2 hereto and is incorporated by reference herein. The press release is attached as Exhibit 99.3 hereto and is incorporated by reference herein.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Report on Form 6-K and in the attached Exhibits 99.1 and 99.2 shall be deemed to be incorporated by reference into the registration statements on Form F-3, as amended (File Number 333-281576) and Form S-8 (File Number 333-223476, File Number 333-248135 and File Number 333-294466), and related prospectuses, as such registration statements and prospectuses may be amended from time to time, and to be a part thereof from the date on which this report is filed, to the extent not superseded by documents or reports subsequently filed or furnished.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the attached Exhibit 99.3 is being furnished and shall not be deemed “filed” for the purposes of Section 18 of the Securities Exchange Act of 1934, as amended (the “Exchange Act”), or otherwise subject to the liabilities of that Section, nor shall it be deemed incorporated by reference in any filing made by the Company under the Securities Act of 1933, as amended, or the Exchange Act, except as otherwise set forth herein or as shall be expressly set forth by specific reference in such a filing.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95"/>
        <w:gridCol w:w="120"/>
        <w:gridCol w:w="9290"/>
      </w:tblGrid>
      <w:tr>
        <w:trPr/>
        <w:tc>
          <w:tcPr>
            <w:tcW w:w="7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90" w:type="dxa"/>
            <w:tcBorders/>
            <w:vAlign w:val="center"/>
          </w:tcPr>
          <w:p>
            <w:pPr>
              <w:pStyle w:val="TableContents"/>
              <w:bidi w:val="0"/>
              <w:spacing w:before="0" w:after="283"/>
              <w:jc w:val="left"/>
              <w:rPr>
                <w:sz w:val="4"/>
                <w:szCs w:val="4"/>
              </w:rPr>
            </w:pPr>
            <w:r>
              <w:rPr>
                <w:sz w:val="4"/>
                <w:szCs w:val="4"/>
              </w:rPr>
            </w:r>
          </w:p>
        </w:tc>
      </w:tr>
      <w:tr>
        <w:trPr/>
        <w:tc>
          <w:tcPr>
            <w:tcW w:w="79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w:t>
            </w:r>
          </w:p>
        </w:tc>
        <w:tc>
          <w:tcPr>
            <w:tcW w:w="120" w:type="dxa"/>
            <w:tcBorders/>
            <w:vAlign w:val="center"/>
          </w:tcPr>
          <w:p>
            <w:pPr>
              <w:pStyle w:val="TableContents"/>
              <w:bidi w:val="0"/>
              <w:spacing w:before="0" w:after="283"/>
              <w:jc w:val="left"/>
              <w:rPr/>
            </w:pPr>
            <w:r>
              <w:rPr/>
              <w:t>  </w:t>
            </w:r>
          </w:p>
        </w:tc>
        <w:tc>
          <w:tcPr>
            <w:tcW w:w="929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c>
          <w:tcPr>
            <w:tcW w:w="795" w:type="dxa"/>
            <w:tcBorders/>
            <w:vAlign w:val="center"/>
          </w:tcPr>
          <w:p>
            <w:pPr>
              <w:pStyle w:val="TableContents"/>
              <w:bidi w:val="0"/>
              <w:spacing w:before="0" w:after="283"/>
              <w:jc w:val="left"/>
              <w:rPr>
                <w:sz w:val="4"/>
                <w:szCs w:val="4"/>
              </w:rPr>
            </w:pPr>
            <w:r>
              <w:rPr>
                <w:sz w:val="4"/>
                <w:szCs w:val="4"/>
              </w:rPr>
            </w:r>
          </w:p>
        </w:tc>
        <w:tc>
          <w:tcPr>
            <w:tcW w:w="9410" w:type="dxa"/>
            <w:gridSpan w:val="2"/>
            <w:tcBorders/>
            <w:vAlign w:val="center"/>
          </w:tcPr>
          <w:p>
            <w:pPr>
              <w:pStyle w:val="TableContents"/>
              <w:bidi w:val="0"/>
              <w:spacing w:before="0" w:after="283"/>
              <w:jc w:val="left"/>
              <w:rPr>
                <w:sz w:val="4"/>
                <w:szCs w:val="4"/>
              </w:rPr>
            </w:pPr>
            <w:r>
              <w:rPr>
                <w:sz w:val="4"/>
                <w:szCs w:val="4"/>
              </w:rPr>
            </w:r>
          </w:p>
        </w:tc>
      </w:tr>
      <w:tr>
        <w:trPr/>
        <w:tc>
          <w:tcPr>
            <w:tcW w:w="79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290" w:type="dxa"/>
            <w:tcBorders/>
            <w:vAlign w:val="center"/>
          </w:tcPr>
          <w:p>
            <w:pPr>
              <w:pStyle w:val="TableContents"/>
              <w:bidi w:val="0"/>
              <w:spacing w:before="0" w:after="283"/>
              <w:jc w:val="left"/>
              <w:rPr/>
            </w:pPr>
            <w:hyperlink w:anchor="d140331dex991.htm">
              <w:r>
                <w:rPr>
                  <w:rStyle w:val="InternetLink"/>
                </w:rPr>
                <w:t xml:space="preserve">Unaudited Condensed Consolidated Financial Statements as of June 30, 2026 and for the Three and Six Months Ended June 30, 2026 and 2025 </w:t>
              </w:r>
            </w:hyperlink>
          </w:p>
        </w:tc>
      </w:tr>
      <w:tr>
        <w:trPr/>
        <w:tc>
          <w:tcPr>
            <w:tcW w:w="795" w:type="dxa"/>
            <w:tcBorders/>
            <w:vAlign w:val="center"/>
          </w:tcPr>
          <w:p>
            <w:pPr>
              <w:pStyle w:val="TableContents"/>
              <w:bidi w:val="0"/>
              <w:spacing w:before="0" w:after="283"/>
              <w:jc w:val="left"/>
              <w:rPr>
                <w:sz w:val="4"/>
                <w:szCs w:val="4"/>
              </w:rPr>
            </w:pPr>
            <w:r>
              <w:rPr>
                <w:sz w:val="4"/>
                <w:szCs w:val="4"/>
              </w:rPr>
            </w:r>
          </w:p>
        </w:tc>
        <w:tc>
          <w:tcPr>
            <w:tcW w:w="9410" w:type="dxa"/>
            <w:gridSpan w:val="2"/>
            <w:tcBorders/>
            <w:vAlign w:val="center"/>
          </w:tcPr>
          <w:p>
            <w:pPr>
              <w:pStyle w:val="TableContents"/>
              <w:bidi w:val="0"/>
              <w:spacing w:before="0" w:after="283"/>
              <w:jc w:val="left"/>
              <w:rPr>
                <w:sz w:val="4"/>
                <w:szCs w:val="4"/>
              </w:rPr>
            </w:pPr>
            <w:r>
              <w:rPr>
                <w:sz w:val="4"/>
                <w:szCs w:val="4"/>
              </w:rPr>
            </w:r>
          </w:p>
        </w:tc>
      </w:tr>
      <w:tr>
        <w:trPr/>
        <w:tc>
          <w:tcPr>
            <w:tcW w:w="795" w:type="dxa"/>
            <w:tcBorders/>
            <w:vAlign w:val="center"/>
          </w:tcPr>
          <w:p>
            <w:pPr>
              <w:pStyle w:val="TableContents"/>
              <w:bidi w:val="0"/>
              <w:spacing w:before="0" w:after="283"/>
              <w:jc w:val="left"/>
              <w:rPr/>
            </w:pPr>
            <w:r>
              <w:rPr/>
              <w:t>99.2</w:t>
            </w:r>
          </w:p>
        </w:tc>
        <w:tc>
          <w:tcPr>
            <w:tcW w:w="120" w:type="dxa"/>
            <w:tcBorders/>
            <w:vAlign w:val="center"/>
          </w:tcPr>
          <w:p>
            <w:pPr>
              <w:pStyle w:val="TableContents"/>
              <w:bidi w:val="0"/>
              <w:spacing w:before="0" w:after="283"/>
              <w:jc w:val="left"/>
              <w:rPr/>
            </w:pPr>
            <w:r>
              <w:rPr/>
              <w:t>  </w:t>
            </w:r>
          </w:p>
        </w:tc>
        <w:tc>
          <w:tcPr>
            <w:tcW w:w="9290" w:type="dxa"/>
            <w:tcBorders/>
            <w:vAlign w:val="center"/>
          </w:tcPr>
          <w:p>
            <w:pPr>
              <w:pStyle w:val="TableContents"/>
              <w:bidi w:val="0"/>
              <w:spacing w:before="0" w:after="283"/>
              <w:jc w:val="left"/>
              <w:rPr/>
            </w:pPr>
            <w:hyperlink w:anchor="d140331dex992.htm">
              <w:r>
                <w:rPr>
                  <w:rStyle w:val="InternetLink"/>
                </w:rPr>
                <w:t xml:space="preserve">Management’s Discussion and Analysis of Financial Condition and Results of Operations for the Three and Six Months Ended June 30, 2026 and 2025 </w:t>
              </w:r>
            </w:hyperlink>
          </w:p>
        </w:tc>
      </w:tr>
      <w:tr>
        <w:trPr/>
        <w:tc>
          <w:tcPr>
            <w:tcW w:w="795" w:type="dxa"/>
            <w:tcBorders/>
            <w:vAlign w:val="center"/>
          </w:tcPr>
          <w:p>
            <w:pPr>
              <w:pStyle w:val="TableContents"/>
              <w:bidi w:val="0"/>
              <w:spacing w:before="0" w:after="283"/>
              <w:jc w:val="left"/>
              <w:rPr>
                <w:sz w:val="4"/>
                <w:szCs w:val="4"/>
              </w:rPr>
            </w:pPr>
            <w:r>
              <w:rPr>
                <w:sz w:val="4"/>
                <w:szCs w:val="4"/>
              </w:rPr>
            </w:r>
          </w:p>
        </w:tc>
        <w:tc>
          <w:tcPr>
            <w:tcW w:w="9410" w:type="dxa"/>
            <w:gridSpan w:val="2"/>
            <w:tcBorders/>
            <w:vAlign w:val="center"/>
          </w:tcPr>
          <w:p>
            <w:pPr>
              <w:pStyle w:val="TableContents"/>
              <w:bidi w:val="0"/>
              <w:spacing w:before="0" w:after="283"/>
              <w:jc w:val="left"/>
              <w:rPr>
                <w:sz w:val="4"/>
                <w:szCs w:val="4"/>
              </w:rPr>
            </w:pPr>
            <w:r>
              <w:rPr>
                <w:sz w:val="4"/>
                <w:szCs w:val="4"/>
              </w:rPr>
            </w:r>
          </w:p>
        </w:tc>
      </w:tr>
      <w:tr>
        <w:trPr/>
        <w:tc>
          <w:tcPr>
            <w:tcW w:w="795" w:type="dxa"/>
            <w:tcBorders/>
            <w:vAlign w:val="center"/>
          </w:tcPr>
          <w:p>
            <w:pPr>
              <w:pStyle w:val="TableContents"/>
              <w:bidi w:val="0"/>
              <w:spacing w:before="0" w:after="283"/>
              <w:jc w:val="left"/>
              <w:rPr/>
            </w:pPr>
            <w:r>
              <w:rPr/>
              <w:t>99.3</w:t>
            </w:r>
          </w:p>
        </w:tc>
        <w:tc>
          <w:tcPr>
            <w:tcW w:w="120" w:type="dxa"/>
            <w:tcBorders/>
            <w:vAlign w:val="center"/>
          </w:tcPr>
          <w:p>
            <w:pPr>
              <w:pStyle w:val="TableContents"/>
              <w:bidi w:val="0"/>
              <w:spacing w:before="0" w:after="283"/>
              <w:jc w:val="left"/>
              <w:rPr/>
            </w:pPr>
            <w:r>
              <w:rPr/>
              <w:t>  </w:t>
            </w:r>
          </w:p>
        </w:tc>
        <w:tc>
          <w:tcPr>
            <w:tcW w:w="9290" w:type="dxa"/>
            <w:tcBorders/>
            <w:vAlign w:val="center"/>
          </w:tcPr>
          <w:p>
            <w:pPr>
              <w:pStyle w:val="TableContents"/>
              <w:bidi w:val="0"/>
              <w:spacing w:before="0" w:after="283"/>
              <w:jc w:val="left"/>
              <w:rPr/>
            </w:pPr>
            <w:hyperlink w:anchor="d140331dex993.htm">
              <w:r>
                <w:rPr>
                  <w:rStyle w:val="InternetLink"/>
                </w:rPr>
                <w:t xml:space="preserve">Press Release dated August 13, 2026 </w:t>
              </w:r>
            </w:hyperlink>
          </w:p>
        </w:tc>
      </w:tr>
      <w:tr>
        <w:trPr/>
        <w:tc>
          <w:tcPr>
            <w:tcW w:w="795" w:type="dxa"/>
            <w:tcBorders/>
            <w:vAlign w:val="center"/>
          </w:tcPr>
          <w:p>
            <w:pPr>
              <w:pStyle w:val="TableContents"/>
              <w:bidi w:val="0"/>
              <w:spacing w:before="0" w:after="283"/>
              <w:jc w:val="left"/>
              <w:rPr>
                <w:sz w:val="4"/>
                <w:szCs w:val="4"/>
              </w:rPr>
            </w:pPr>
            <w:r>
              <w:rPr>
                <w:sz w:val="4"/>
                <w:szCs w:val="4"/>
              </w:rPr>
            </w:r>
          </w:p>
        </w:tc>
        <w:tc>
          <w:tcPr>
            <w:tcW w:w="9410" w:type="dxa"/>
            <w:gridSpan w:val="2"/>
            <w:tcBorders/>
            <w:vAlign w:val="center"/>
          </w:tcPr>
          <w:p>
            <w:pPr>
              <w:pStyle w:val="TableContents"/>
              <w:bidi w:val="0"/>
              <w:spacing w:before="0" w:after="283"/>
              <w:jc w:val="left"/>
              <w:rPr>
                <w:sz w:val="4"/>
                <w:szCs w:val="4"/>
              </w:rPr>
            </w:pPr>
            <w:r>
              <w:rPr>
                <w:sz w:val="4"/>
                <w:szCs w:val="4"/>
              </w:rPr>
            </w:r>
          </w:p>
        </w:tc>
      </w:tr>
      <w:tr>
        <w:trPr/>
        <w:tc>
          <w:tcPr>
            <w:tcW w:w="795" w:type="dxa"/>
            <w:tcBorders/>
            <w:vAlign w:val="center"/>
          </w:tcPr>
          <w:p>
            <w:pPr>
              <w:pStyle w:val="TableContents"/>
              <w:bidi w:val="0"/>
              <w:spacing w:before="0" w:after="283"/>
              <w:jc w:val="left"/>
              <w:rPr/>
            </w:pPr>
            <w:r>
              <w:rPr/>
              <w:t>101.INS</w:t>
            </w:r>
          </w:p>
        </w:tc>
        <w:tc>
          <w:tcPr>
            <w:tcW w:w="120" w:type="dxa"/>
            <w:tcBorders/>
            <w:vAlign w:val="center"/>
          </w:tcPr>
          <w:p>
            <w:pPr>
              <w:pStyle w:val="TableContents"/>
              <w:bidi w:val="0"/>
              <w:spacing w:before="0" w:after="283"/>
              <w:jc w:val="left"/>
              <w:rPr/>
            </w:pPr>
            <w:r>
              <w:rPr/>
              <w:t>  </w:t>
            </w:r>
          </w:p>
        </w:tc>
        <w:tc>
          <w:tcPr>
            <w:tcW w:w="9290" w:type="dxa"/>
            <w:tcBorders/>
            <w:vAlign w:val="center"/>
          </w:tcPr>
          <w:p>
            <w:pPr>
              <w:pStyle w:val="TableContents"/>
              <w:bidi w:val="0"/>
              <w:spacing w:before="0" w:after="283"/>
              <w:jc w:val="left"/>
              <w:rPr/>
            </w:pPr>
            <w:r>
              <w:rPr/>
              <w:t>INLINE XBRL Taxonomy Extension Schema Document</w:t>
            </w:r>
          </w:p>
        </w:tc>
      </w:tr>
      <w:tr>
        <w:trPr/>
        <w:tc>
          <w:tcPr>
            <w:tcW w:w="795" w:type="dxa"/>
            <w:tcBorders/>
            <w:vAlign w:val="center"/>
          </w:tcPr>
          <w:p>
            <w:pPr>
              <w:pStyle w:val="TableContents"/>
              <w:bidi w:val="0"/>
              <w:spacing w:before="0" w:after="283"/>
              <w:jc w:val="left"/>
              <w:rPr>
                <w:sz w:val="4"/>
                <w:szCs w:val="4"/>
              </w:rPr>
            </w:pPr>
            <w:r>
              <w:rPr>
                <w:sz w:val="4"/>
                <w:szCs w:val="4"/>
              </w:rPr>
            </w:r>
          </w:p>
        </w:tc>
        <w:tc>
          <w:tcPr>
            <w:tcW w:w="9410" w:type="dxa"/>
            <w:gridSpan w:val="2"/>
            <w:tcBorders/>
            <w:vAlign w:val="center"/>
          </w:tcPr>
          <w:p>
            <w:pPr>
              <w:pStyle w:val="TableContents"/>
              <w:bidi w:val="0"/>
              <w:spacing w:before="0" w:after="283"/>
              <w:jc w:val="left"/>
              <w:rPr>
                <w:sz w:val="4"/>
                <w:szCs w:val="4"/>
              </w:rPr>
            </w:pPr>
            <w:r>
              <w:rPr>
                <w:sz w:val="4"/>
                <w:szCs w:val="4"/>
              </w:rPr>
            </w:r>
          </w:p>
        </w:tc>
      </w:tr>
      <w:tr>
        <w:trPr/>
        <w:tc>
          <w:tcPr>
            <w:tcW w:w="795" w:type="dxa"/>
            <w:tcBorders/>
            <w:vAlign w:val="center"/>
          </w:tcPr>
          <w:p>
            <w:pPr>
              <w:pStyle w:val="TableContents"/>
              <w:bidi w:val="0"/>
              <w:spacing w:before="0" w:after="283"/>
              <w:jc w:val="left"/>
              <w:rPr/>
            </w:pPr>
            <w:r>
              <w:rPr/>
              <w:t>101.DEF</w:t>
            </w:r>
          </w:p>
        </w:tc>
        <w:tc>
          <w:tcPr>
            <w:tcW w:w="120" w:type="dxa"/>
            <w:tcBorders/>
            <w:vAlign w:val="center"/>
          </w:tcPr>
          <w:p>
            <w:pPr>
              <w:pStyle w:val="TableContents"/>
              <w:bidi w:val="0"/>
              <w:spacing w:before="0" w:after="283"/>
              <w:jc w:val="left"/>
              <w:rPr/>
            </w:pPr>
            <w:r>
              <w:rPr/>
              <w:t>  </w:t>
            </w:r>
          </w:p>
        </w:tc>
        <w:tc>
          <w:tcPr>
            <w:tcW w:w="9290" w:type="dxa"/>
            <w:tcBorders/>
            <w:vAlign w:val="center"/>
          </w:tcPr>
          <w:p>
            <w:pPr>
              <w:pStyle w:val="TableContents"/>
              <w:bidi w:val="0"/>
              <w:spacing w:before="0" w:after="283"/>
              <w:jc w:val="left"/>
              <w:rPr/>
            </w:pPr>
            <w:r>
              <w:rPr/>
              <w:t>INLINE XBRL Taxonomy Extension Calculation Linkbase Document</w:t>
            </w:r>
          </w:p>
        </w:tc>
      </w:tr>
      <w:tr>
        <w:trPr/>
        <w:tc>
          <w:tcPr>
            <w:tcW w:w="795" w:type="dxa"/>
            <w:tcBorders/>
            <w:vAlign w:val="center"/>
          </w:tcPr>
          <w:p>
            <w:pPr>
              <w:pStyle w:val="TableContents"/>
              <w:bidi w:val="0"/>
              <w:spacing w:before="0" w:after="283"/>
              <w:jc w:val="left"/>
              <w:rPr>
                <w:sz w:val="4"/>
                <w:szCs w:val="4"/>
              </w:rPr>
            </w:pPr>
            <w:r>
              <w:rPr>
                <w:sz w:val="4"/>
                <w:szCs w:val="4"/>
              </w:rPr>
            </w:r>
          </w:p>
        </w:tc>
        <w:tc>
          <w:tcPr>
            <w:tcW w:w="9410" w:type="dxa"/>
            <w:gridSpan w:val="2"/>
            <w:tcBorders/>
            <w:vAlign w:val="center"/>
          </w:tcPr>
          <w:p>
            <w:pPr>
              <w:pStyle w:val="TableContents"/>
              <w:bidi w:val="0"/>
              <w:spacing w:before="0" w:after="283"/>
              <w:jc w:val="left"/>
              <w:rPr>
                <w:sz w:val="4"/>
                <w:szCs w:val="4"/>
              </w:rPr>
            </w:pPr>
            <w:r>
              <w:rPr>
                <w:sz w:val="4"/>
                <w:szCs w:val="4"/>
              </w:rPr>
            </w:r>
          </w:p>
        </w:tc>
      </w:tr>
      <w:tr>
        <w:trPr/>
        <w:tc>
          <w:tcPr>
            <w:tcW w:w="795" w:type="dxa"/>
            <w:tcBorders/>
            <w:vAlign w:val="center"/>
          </w:tcPr>
          <w:p>
            <w:pPr>
              <w:pStyle w:val="TableContents"/>
              <w:bidi w:val="0"/>
              <w:spacing w:before="0" w:after="283"/>
              <w:jc w:val="left"/>
              <w:rPr/>
            </w:pPr>
            <w:r>
              <w:rPr/>
              <w:t>101.CAL</w:t>
            </w:r>
          </w:p>
        </w:tc>
        <w:tc>
          <w:tcPr>
            <w:tcW w:w="120" w:type="dxa"/>
            <w:tcBorders/>
            <w:vAlign w:val="center"/>
          </w:tcPr>
          <w:p>
            <w:pPr>
              <w:pStyle w:val="TableContents"/>
              <w:bidi w:val="0"/>
              <w:spacing w:before="0" w:after="283"/>
              <w:jc w:val="left"/>
              <w:rPr/>
            </w:pPr>
            <w:r>
              <w:rPr/>
              <w:t>  </w:t>
            </w:r>
          </w:p>
        </w:tc>
        <w:tc>
          <w:tcPr>
            <w:tcW w:w="9290" w:type="dxa"/>
            <w:tcBorders/>
            <w:vAlign w:val="center"/>
          </w:tcPr>
          <w:p>
            <w:pPr>
              <w:pStyle w:val="TableContents"/>
              <w:bidi w:val="0"/>
              <w:spacing w:before="0" w:after="283"/>
              <w:jc w:val="left"/>
              <w:rPr/>
            </w:pPr>
            <w:r>
              <w:rPr/>
              <w:t>INLINE XBRL Taxonomy Extension Definition Linkbase Document</w:t>
            </w:r>
          </w:p>
        </w:tc>
      </w:tr>
      <w:tr>
        <w:trPr/>
        <w:tc>
          <w:tcPr>
            <w:tcW w:w="795" w:type="dxa"/>
            <w:tcBorders/>
            <w:vAlign w:val="center"/>
          </w:tcPr>
          <w:p>
            <w:pPr>
              <w:pStyle w:val="TableContents"/>
              <w:bidi w:val="0"/>
              <w:spacing w:before="0" w:after="283"/>
              <w:jc w:val="left"/>
              <w:rPr>
                <w:sz w:val="4"/>
                <w:szCs w:val="4"/>
              </w:rPr>
            </w:pPr>
            <w:r>
              <w:rPr>
                <w:sz w:val="4"/>
                <w:szCs w:val="4"/>
              </w:rPr>
            </w:r>
          </w:p>
        </w:tc>
        <w:tc>
          <w:tcPr>
            <w:tcW w:w="9410" w:type="dxa"/>
            <w:gridSpan w:val="2"/>
            <w:tcBorders/>
            <w:vAlign w:val="center"/>
          </w:tcPr>
          <w:p>
            <w:pPr>
              <w:pStyle w:val="TableContents"/>
              <w:bidi w:val="0"/>
              <w:spacing w:before="0" w:after="283"/>
              <w:jc w:val="left"/>
              <w:rPr>
                <w:sz w:val="4"/>
                <w:szCs w:val="4"/>
              </w:rPr>
            </w:pPr>
            <w:r>
              <w:rPr>
                <w:sz w:val="4"/>
                <w:szCs w:val="4"/>
              </w:rPr>
            </w:r>
          </w:p>
        </w:tc>
      </w:tr>
      <w:tr>
        <w:trPr/>
        <w:tc>
          <w:tcPr>
            <w:tcW w:w="795" w:type="dxa"/>
            <w:tcBorders/>
            <w:vAlign w:val="center"/>
          </w:tcPr>
          <w:p>
            <w:pPr>
              <w:pStyle w:val="TableContents"/>
              <w:bidi w:val="0"/>
              <w:spacing w:before="0" w:after="283"/>
              <w:jc w:val="left"/>
              <w:rPr/>
            </w:pPr>
            <w:r>
              <w:rPr/>
              <w:t>101.LAB</w:t>
            </w:r>
          </w:p>
        </w:tc>
        <w:tc>
          <w:tcPr>
            <w:tcW w:w="120" w:type="dxa"/>
            <w:tcBorders/>
            <w:vAlign w:val="center"/>
          </w:tcPr>
          <w:p>
            <w:pPr>
              <w:pStyle w:val="TableContents"/>
              <w:bidi w:val="0"/>
              <w:spacing w:before="0" w:after="283"/>
              <w:jc w:val="left"/>
              <w:rPr/>
            </w:pPr>
            <w:r>
              <w:rPr/>
              <w:t>  </w:t>
            </w:r>
          </w:p>
        </w:tc>
        <w:tc>
          <w:tcPr>
            <w:tcW w:w="9290" w:type="dxa"/>
            <w:tcBorders/>
            <w:vAlign w:val="center"/>
          </w:tcPr>
          <w:p>
            <w:pPr>
              <w:pStyle w:val="TableContents"/>
              <w:bidi w:val="0"/>
              <w:spacing w:before="0" w:after="283"/>
              <w:jc w:val="left"/>
              <w:rPr/>
            </w:pPr>
            <w:r>
              <w:rPr/>
              <w:t>INLINE XBRL Taxonomy Extension Label Linkbase Document</w:t>
            </w:r>
          </w:p>
        </w:tc>
      </w:tr>
      <w:tr>
        <w:trPr/>
        <w:tc>
          <w:tcPr>
            <w:tcW w:w="795" w:type="dxa"/>
            <w:tcBorders/>
            <w:vAlign w:val="center"/>
          </w:tcPr>
          <w:p>
            <w:pPr>
              <w:pStyle w:val="TableContents"/>
              <w:bidi w:val="0"/>
              <w:spacing w:before="0" w:after="283"/>
              <w:jc w:val="left"/>
              <w:rPr>
                <w:sz w:val="4"/>
                <w:szCs w:val="4"/>
              </w:rPr>
            </w:pPr>
            <w:r>
              <w:rPr>
                <w:sz w:val="4"/>
                <w:szCs w:val="4"/>
              </w:rPr>
            </w:r>
          </w:p>
        </w:tc>
        <w:tc>
          <w:tcPr>
            <w:tcW w:w="9410" w:type="dxa"/>
            <w:gridSpan w:val="2"/>
            <w:tcBorders/>
            <w:vAlign w:val="center"/>
          </w:tcPr>
          <w:p>
            <w:pPr>
              <w:pStyle w:val="TableContents"/>
              <w:bidi w:val="0"/>
              <w:spacing w:before="0" w:after="283"/>
              <w:jc w:val="left"/>
              <w:rPr>
                <w:sz w:val="4"/>
                <w:szCs w:val="4"/>
              </w:rPr>
            </w:pPr>
            <w:r>
              <w:rPr>
                <w:sz w:val="4"/>
                <w:szCs w:val="4"/>
              </w:rPr>
            </w:r>
          </w:p>
        </w:tc>
      </w:tr>
      <w:tr>
        <w:trPr/>
        <w:tc>
          <w:tcPr>
            <w:tcW w:w="795" w:type="dxa"/>
            <w:tcBorders/>
            <w:vAlign w:val="center"/>
          </w:tcPr>
          <w:p>
            <w:pPr>
              <w:pStyle w:val="TableContents"/>
              <w:bidi w:val="0"/>
              <w:spacing w:before="0" w:after="283"/>
              <w:jc w:val="left"/>
              <w:rPr/>
            </w:pPr>
            <w:r>
              <w:rPr/>
              <w:t>101.PRE</w:t>
            </w:r>
          </w:p>
        </w:tc>
        <w:tc>
          <w:tcPr>
            <w:tcW w:w="120" w:type="dxa"/>
            <w:tcBorders/>
            <w:vAlign w:val="center"/>
          </w:tcPr>
          <w:p>
            <w:pPr>
              <w:pStyle w:val="TableContents"/>
              <w:bidi w:val="0"/>
              <w:spacing w:before="0" w:after="283"/>
              <w:jc w:val="left"/>
              <w:rPr/>
            </w:pPr>
            <w:r>
              <w:rPr/>
              <w:t>  </w:t>
            </w:r>
          </w:p>
        </w:tc>
        <w:tc>
          <w:tcPr>
            <w:tcW w:w="9290" w:type="dxa"/>
            <w:tcBorders/>
            <w:vAlign w:val="center"/>
          </w:tcPr>
          <w:p>
            <w:pPr>
              <w:pStyle w:val="TableContents"/>
              <w:bidi w:val="0"/>
              <w:spacing w:before="0" w:after="283"/>
              <w:jc w:val="left"/>
              <w:rPr/>
            </w:pPr>
            <w:r>
              <w:rPr/>
              <w:t>INLINE XBRL Taxonomy Extension Presentation Linkbase Document</w:t>
            </w:r>
          </w:p>
        </w:tc>
      </w:tr>
      <w:tr>
        <w:trPr/>
        <w:tc>
          <w:tcPr>
            <w:tcW w:w="795" w:type="dxa"/>
            <w:tcBorders/>
            <w:vAlign w:val="center"/>
          </w:tcPr>
          <w:p>
            <w:pPr>
              <w:pStyle w:val="TableContents"/>
              <w:bidi w:val="0"/>
              <w:spacing w:before="0" w:after="283"/>
              <w:jc w:val="left"/>
              <w:rPr>
                <w:sz w:val="4"/>
                <w:szCs w:val="4"/>
              </w:rPr>
            </w:pPr>
            <w:r>
              <w:rPr>
                <w:sz w:val="4"/>
                <w:szCs w:val="4"/>
              </w:rPr>
            </w:r>
          </w:p>
        </w:tc>
        <w:tc>
          <w:tcPr>
            <w:tcW w:w="9410" w:type="dxa"/>
            <w:gridSpan w:val="2"/>
            <w:tcBorders/>
            <w:vAlign w:val="center"/>
          </w:tcPr>
          <w:p>
            <w:pPr>
              <w:pStyle w:val="TableContents"/>
              <w:bidi w:val="0"/>
              <w:spacing w:before="0" w:after="283"/>
              <w:jc w:val="left"/>
              <w:rPr>
                <w:sz w:val="4"/>
                <w:szCs w:val="4"/>
              </w:rPr>
            </w:pPr>
            <w:r>
              <w:rPr>
                <w:sz w:val="4"/>
                <w:szCs w:val="4"/>
              </w:rPr>
            </w:r>
          </w:p>
        </w:tc>
      </w:tr>
      <w:tr>
        <w:trPr/>
        <w:tc>
          <w:tcPr>
            <w:tcW w:w="79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290" w:type="dxa"/>
            <w:tcBorders/>
            <w:vAlign w:val="center"/>
          </w:tcPr>
          <w:p>
            <w:pPr>
              <w:pStyle w:val="TableContents"/>
              <w:bidi w:val="0"/>
              <w:spacing w:before="0" w:after="283"/>
              <w:jc w:val="left"/>
              <w:rPr/>
            </w:pPr>
            <w:r>
              <w:rPr/>
              <w:t>Cover Page Interactive Data File (formatted as Inline XBRL and contained in Exhibit 101)</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thereto duly authorized. </w:t>
      </w:r>
    </w:p>
    <w:p>
      <w:pPr>
        <w:pStyle w:val="TextBody"/>
        <w:bidi w:val="0"/>
        <w:spacing w:before="0" w:after="0"/>
        <w:jc w:val="left"/>
        <w:rPr/>
      </w:pPr>
      <w:r>
        <w:rPr/>
        <w:t> </w:t>
      </w:r>
    </w:p>
    <w:tbl>
      <w:tblPr>
        <w:tblW w:w="7240" w:type="dxa"/>
        <w:jc w:val="left"/>
        <w:tblInd w:w="0" w:type="dxa"/>
        <w:tblLayout w:type="fixed"/>
        <w:tblCellMar>
          <w:top w:w="0" w:type="dxa"/>
          <w:left w:w="0" w:type="dxa"/>
          <w:bottom w:w="0" w:type="dxa"/>
          <w:right w:w="0" w:type="dxa"/>
        </w:tblCellMar>
      </w:tblPr>
      <w:tblGrid>
        <w:gridCol w:w="665"/>
        <w:gridCol w:w="60"/>
        <w:gridCol w:w="6515"/>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15" w:type="dxa"/>
            <w:tcBorders/>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b/>
              </w:rPr>
            </w:pPr>
            <w:r>
              <w:rPr>
                <w:b/>
              </w:rPr>
              <w:t>NuCana plc</w:t>
            </w:r>
          </w:p>
        </w:tc>
      </w:tr>
      <w:tr>
        <w:trPr/>
        <w:tc>
          <w:tcPr>
            <w:tcW w:w="665" w:type="dxa"/>
            <w:tcBorders/>
            <w:vAlign w:val="center"/>
          </w:tcPr>
          <w:p>
            <w:pPr>
              <w:pStyle w:val="TableContents"/>
              <w:bidi w:val="0"/>
              <w:spacing w:before="0" w:after="283"/>
              <w:jc w:val="left"/>
              <w:rPr>
                <w:sz w:val="4"/>
                <w:szCs w:val="4"/>
              </w:rPr>
            </w:pPr>
            <w:r>
              <w:rPr>
                <w:sz w:val="4"/>
                <w:szCs w:val="4"/>
              </w:rPr>
            </w:r>
          </w:p>
        </w:tc>
        <w:tc>
          <w:tcPr>
            <w:tcW w:w="6575"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651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Ian Webster</w:t>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6515" w:type="dxa"/>
            <w:tcBorders/>
            <w:vAlign w:val="center"/>
          </w:tcPr>
          <w:p>
            <w:pPr>
              <w:pStyle w:val="TableContents"/>
              <w:bidi w:val="0"/>
              <w:spacing w:before="0" w:after="283"/>
              <w:jc w:val="left"/>
              <w:rPr/>
            </w:pPr>
            <w:r>
              <w:rPr/>
              <w:t>Ian Webster</w:t>
            </w:r>
          </w:p>
        </w:tc>
      </w:tr>
      <w:tr>
        <w:trPr/>
        <w:tc>
          <w:tcPr>
            <w:tcW w:w="66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6515" w:type="dxa"/>
            <w:tcBorders/>
            <w:vAlign w:val="center"/>
          </w:tcPr>
          <w:p>
            <w:pPr>
              <w:pStyle w:val="TableContents"/>
              <w:bidi w:val="0"/>
              <w:spacing w:before="0" w:after="283"/>
              <w:jc w:val="left"/>
              <w:rPr/>
            </w:pPr>
            <w:r>
              <w:rPr/>
              <w:t>Chief Financial Officer (Principal Financial and Accounting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August 13, 2026 </w:t>
      </w:r>
    </w:p>
    <w:p>
      <w:pPr>
        <w:pStyle w:val="TextBody"/>
        <w:bidi w:val="0"/>
        <w:spacing w:before="0" w:after="0"/>
        <w:jc w:val="right"/>
        <w:rPr>
          <w:rFonts w:ascii="Times New Roman" w:hAnsi="Times New Roman"/>
          <w:b/>
          <w:spacing w:val="0"/>
          <w:sz w:val="20"/>
        </w:rPr>
      </w:pPr>
      <w:bookmarkStart w:id="2" w:name="d140331dex991.htm"/>
      <w:bookmarkStart w:id="3" w:name="ksd140331dex991"/>
      <w:bookmarkEnd w:id="2"/>
      <w:bookmarkEnd w:id="3"/>
      <w:r>
        <w:rPr>
          <w:rFonts w:ascii="Times New Roman" w:hAnsi="Times New Roman"/>
          <w:b/>
          <w:spacing w:val="0"/>
          <w:sz w:val="20"/>
        </w:rPr>
        <w:t xml:space="preserve">Exhibit 99.1 </w:t>
      </w:r>
      <w:r>
        <w:br w:type="page"/>
      </w: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 xml:space="preserve">NUCANA PLC </w:t>
      </w: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 xml:space="preserve">UNAUDITED CONDENSED CONSOLIDATED STATEMENTS OF OPERATIONS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2641"/>
        <w:gridCol w:w="120"/>
        <w:gridCol w:w="168"/>
        <w:gridCol w:w="392"/>
        <w:gridCol w:w="60"/>
        <w:gridCol w:w="120"/>
        <w:gridCol w:w="118"/>
        <w:gridCol w:w="1255"/>
        <w:gridCol w:w="271"/>
        <w:gridCol w:w="105"/>
        <w:gridCol w:w="111"/>
        <w:gridCol w:w="1405"/>
        <w:gridCol w:w="155"/>
        <w:gridCol w:w="60"/>
        <w:gridCol w:w="110"/>
        <w:gridCol w:w="1181"/>
        <w:gridCol w:w="244"/>
        <w:gridCol w:w="94"/>
        <w:gridCol w:w="103"/>
        <w:gridCol w:w="1317"/>
        <w:gridCol w:w="175"/>
      </w:tblGrid>
      <w:tr>
        <w:trPr/>
        <w:tc>
          <w:tcPr>
            <w:tcW w:w="26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64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65" w:type="dxa"/>
            <w:gridSpan w:val="6"/>
            <w:tcBorders/>
            <w:vAlign w:val="center"/>
          </w:tcPr>
          <w:p>
            <w:pPr>
              <w:pStyle w:val="TableContents"/>
              <w:bidi w:val="0"/>
              <w:spacing w:before="0" w:after="0"/>
              <w:jc w:val="center"/>
              <w:rPr>
                <w:b/>
                <w:spacing w:val="0"/>
              </w:rPr>
            </w:pPr>
            <w:r>
              <w:rPr>
                <w:b/>
                <w:spacing w:val="0"/>
              </w:rPr>
              <w:t>For the Three Months Ended</w:t>
              <w:br/>
              <w:t>June 30,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49" w:type="dxa"/>
            <w:gridSpan w:val="6"/>
            <w:tcBorders/>
            <w:vAlign w:val="center"/>
          </w:tcPr>
          <w:p>
            <w:pPr>
              <w:pStyle w:val="TableContents"/>
              <w:bidi w:val="0"/>
              <w:spacing w:before="0" w:after="0"/>
              <w:jc w:val="center"/>
              <w:rPr>
                <w:b/>
                <w:spacing w:val="0"/>
              </w:rPr>
            </w:pPr>
            <w:r>
              <w:rPr>
                <w:b/>
                <w:spacing w:val="0"/>
              </w:rPr>
              <w:t>For the Six Months Ended</w:t>
              <w:br/>
              <w:t>June 30,</w:t>
            </w:r>
          </w:p>
        </w:tc>
        <w:tc>
          <w:tcPr>
            <w:tcW w:w="175" w:type="dxa"/>
            <w:tcBorders/>
            <w:vAlign w:val="center"/>
          </w:tcPr>
          <w:p>
            <w:pPr>
              <w:pStyle w:val="TableContents"/>
              <w:bidi w:val="0"/>
              <w:spacing w:before="0" w:after="283"/>
              <w:jc w:val="left"/>
              <w:rPr/>
            </w:pPr>
            <w:r>
              <w:rPr/>
              <w:t> </w:t>
            </w:r>
          </w:p>
        </w:tc>
      </w:tr>
      <w:tr>
        <w:trPr/>
        <w:tc>
          <w:tcPr>
            <w:tcW w:w="264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60" w:type="dxa"/>
            <w:gridSpan w:val="2"/>
            <w:tcBorders/>
            <w:vAlign w:val="center"/>
          </w:tcPr>
          <w:p>
            <w:pPr>
              <w:pStyle w:val="TableContents"/>
              <w:bidi w:val="0"/>
              <w:spacing w:before="0" w:after="0"/>
              <w:jc w:val="center"/>
              <w:rPr>
                <w:i/>
                <w:caps w:val="false"/>
                <w:smallCaps w:val="false"/>
                <w:spacing w:val="0"/>
              </w:rPr>
            </w:pPr>
            <w:r>
              <w:rPr>
                <w:i/>
                <w:caps w:val="false"/>
                <w:smallCaps w:val="false"/>
                <w:spacing w:val="0"/>
              </w:rPr>
              <w:t>Notes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3" w:type="dxa"/>
            <w:gridSpan w:val="2"/>
            <w:tcBorders/>
            <w:vAlign w:val="center"/>
          </w:tcPr>
          <w:p>
            <w:pPr>
              <w:pStyle w:val="TableContents"/>
              <w:bidi w:val="0"/>
              <w:spacing w:before="0" w:after="0"/>
              <w:jc w:val="center"/>
              <w:rPr>
                <w:spacing w:val="0"/>
              </w:rPr>
            </w:pPr>
            <w:r>
              <w:rPr>
                <w:spacing w:val="0"/>
              </w:rPr>
              <w:t>   </w:t>
            </w:r>
            <w:r>
              <w:rPr>
                <w:b/>
                <w:spacing w:val="0"/>
              </w:rPr>
              <w:t>2026   </w:t>
            </w:r>
          </w:p>
        </w:tc>
        <w:tc>
          <w:tcPr>
            <w:tcW w:w="271"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516" w:type="dxa"/>
            <w:gridSpan w:val="2"/>
            <w:tcBorders/>
            <w:vAlign w:val="center"/>
          </w:tcPr>
          <w:p>
            <w:pPr>
              <w:pStyle w:val="TableContents"/>
              <w:bidi w:val="0"/>
              <w:spacing w:before="0" w:after="0"/>
              <w:jc w:val="center"/>
              <w:rPr>
                <w:spacing w:val="0"/>
              </w:rPr>
            </w:pPr>
            <w:r>
              <w:rPr>
                <w:spacing w:val="0"/>
              </w:rPr>
              <w:t>   </w:t>
            </w:r>
            <w:r>
              <w:rPr>
                <w:b/>
                <w:spacing w:val="0"/>
              </w:rPr>
              <w:t>2025   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1" w:type="dxa"/>
            <w:gridSpan w:val="2"/>
            <w:tcBorders/>
            <w:vAlign w:val="center"/>
          </w:tcPr>
          <w:p>
            <w:pPr>
              <w:pStyle w:val="TableContents"/>
              <w:bidi w:val="0"/>
              <w:spacing w:before="0" w:after="0"/>
              <w:jc w:val="center"/>
              <w:rPr>
                <w:spacing w:val="0"/>
              </w:rPr>
            </w:pPr>
            <w:r>
              <w:rPr>
                <w:spacing w:val="0"/>
              </w:rPr>
              <w:t>   </w:t>
            </w:r>
            <w:r>
              <w:rPr>
                <w:b/>
                <w:spacing w:val="0"/>
              </w:rPr>
              <w:t>2026   </w:t>
            </w:r>
          </w:p>
        </w:tc>
        <w:tc>
          <w:tcPr>
            <w:tcW w:w="24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0"/>
              <w:jc w:val="center"/>
              <w:rPr>
                <w:spacing w:val="0"/>
              </w:rPr>
            </w:pPr>
            <w:r>
              <w:rPr>
                <w:spacing w:val="0"/>
              </w:rPr>
              <w:t>   </w:t>
            </w:r>
            <w:r>
              <w:rPr>
                <w:b/>
                <w:spacing w:val="0"/>
              </w:rPr>
              <w:t>2025   </w:t>
            </w:r>
          </w:p>
        </w:tc>
        <w:tc>
          <w:tcPr>
            <w:tcW w:w="175" w:type="dxa"/>
            <w:tcBorders/>
            <w:vAlign w:val="center"/>
          </w:tcPr>
          <w:p>
            <w:pPr>
              <w:pStyle w:val="TableContents"/>
              <w:bidi w:val="0"/>
              <w:spacing w:before="0" w:after="283"/>
              <w:jc w:val="left"/>
              <w:rPr/>
            </w:pPr>
            <w:r>
              <w:rPr/>
              <w:t> </w:t>
            </w:r>
          </w:p>
        </w:tc>
      </w:tr>
      <w:tr>
        <w:trPr/>
        <w:tc>
          <w:tcPr>
            <w:tcW w:w="264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29" w:type="dxa"/>
            <w:gridSpan w:val="14"/>
            <w:tcBorders/>
            <w:vAlign w:val="center"/>
          </w:tcPr>
          <w:p>
            <w:pPr>
              <w:pStyle w:val="TableContents"/>
              <w:bidi w:val="0"/>
              <w:spacing w:before="0" w:after="0"/>
              <w:jc w:val="center"/>
              <w:rPr>
                <w:b/>
                <w:spacing w:val="0"/>
              </w:rPr>
            </w:pPr>
            <w:r>
              <w:rPr>
                <w:b/>
                <w:spacing w:val="0"/>
              </w:rPr>
              <w:t>(in thousands, except per share data)</w:t>
            </w:r>
          </w:p>
        </w:tc>
        <w:tc>
          <w:tcPr>
            <w:tcW w:w="175" w:type="dxa"/>
            <w:tcBorders/>
            <w:vAlign w:val="center"/>
          </w:tcPr>
          <w:p>
            <w:pPr>
              <w:pStyle w:val="TableContents"/>
              <w:bidi w:val="0"/>
              <w:spacing w:before="0" w:after="283"/>
              <w:jc w:val="left"/>
              <w:rPr/>
            </w:pPr>
            <w:r>
              <w:rPr/>
              <w:t> </w:t>
            </w:r>
          </w:p>
        </w:tc>
      </w:tr>
      <w:tr>
        <w:trPr/>
        <w:tc>
          <w:tcPr>
            <w:tcW w:w="264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3" w:type="dxa"/>
            <w:gridSpan w:val="2"/>
            <w:tcBorders/>
            <w:vAlign w:val="center"/>
          </w:tcPr>
          <w:p>
            <w:pPr>
              <w:pStyle w:val="TableContents"/>
              <w:bidi w:val="0"/>
              <w:spacing w:before="0" w:after="0"/>
              <w:jc w:val="center"/>
              <w:rPr>
                <w:b/>
                <w:spacing w:val="0"/>
              </w:rPr>
            </w:pPr>
            <w:r>
              <w:rPr>
                <w:b/>
                <w:spacing w:val="0"/>
              </w:rPr>
              <w:t>£</w:t>
            </w:r>
          </w:p>
        </w:tc>
        <w:tc>
          <w:tcPr>
            <w:tcW w:w="271"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516" w:type="dxa"/>
            <w:gridSpan w:val="2"/>
            <w:tcBorders/>
            <w:vAlign w:val="center"/>
          </w:tcPr>
          <w:p>
            <w:pPr>
              <w:pStyle w:val="TableContents"/>
              <w:bidi w:val="0"/>
              <w:spacing w:before="0" w:after="0"/>
              <w:jc w:val="center"/>
              <w:rPr>
                <w:b/>
                <w:spacing w:val="0"/>
              </w:rPr>
            </w:pPr>
            <w:r>
              <w:rPr>
                <w:b/>
                <w:spacing w:val="0"/>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1" w:type="dxa"/>
            <w:gridSpan w:val="2"/>
            <w:tcBorders/>
            <w:vAlign w:val="center"/>
          </w:tcPr>
          <w:p>
            <w:pPr>
              <w:pStyle w:val="TableContents"/>
              <w:bidi w:val="0"/>
              <w:spacing w:before="0" w:after="0"/>
              <w:jc w:val="center"/>
              <w:rPr>
                <w:b/>
                <w:spacing w:val="0"/>
              </w:rPr>
            </w:pPr>
            <w:r>
              <w:rPr>
                <w:b/>
                <w:spacing w:val="0"/>
              </w:rPr>
              <w:t>£</w:t>
            </w:r>
          </w:p>
        </w:tc>
        <w:tc>
          <w:tcPr>
            <w:tcW w:w="24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0"/>
              <w:jc w:val="center"/>
              <w:rPr>
                <w:b/>
                <w:spacing w:val="0"/>
              </w:rPr>
            </w:pPr>
            <w:r>
              <w:rPr>
                <w:b/>
                <w:spacing w:val="0"/>
              </w:rPr>
              <w:t>£</w:t>
            </w:r>
          </w:p>
        </w:tc>
        <w:tc>
          <w:tcPr>
            <w:tcW w:w="175" w:type="dxa"/>
            <w:tcBorders/>
            <w:vAlign w:val="center"/>
          </w:tcPr>
          <w:p>
            <w:pPr>
              <w:pStyle w:val="TableContents"/>
              <w:bidi w:val="0"/>
              <w:spacing w:before="0" w:after="283"/>
              <w:jc w:val="left"/>
              <w:rPr/>
            </w:pPr>
            <w:r>
              <w:rPr/>
              <w:t> </w:t>
            </w:r>
          </w:p>
        </w:tc>
      </w:tr>
      <w:tr>
        <w:trPr/>
        <w:tc>
          <w:tcPr>
            <w:tcW w:w="2641"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Research and development expenses</w:t>
            </w:r>
          </w:p>
        </w:tc>
        <w:tc>
          <w:tcPr>
            <w:tcW w:w="12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sz w:val="4"/>
                <w:szCs w:val="4"/>
              </w:rPr>
            </w:pPr>
            <w:r>
              <w:rPr>
                <w:sz w:val="4"/>
                <w:szCs w:val="4"/>
              </w:rPr>
            </w:r>
          </w:p>
        </w:tc>
        <w:tc>
          <w:tcPr>
            <w:tcW w:w="39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255" w:type="dxa"/>
            <w:tcBorders/>
            <w:shd w:fill="CCEEFF" w:val="clear"/>
            <w:vAlign w:val="center"/>
          </w:tcPr>
          <w:p>
            <w:pPr>
              <w:pStyle w:val="TableContents"/>
              <w:bidi w:val="0"/>
              <w:spacing w:before="0" w:after="283"/>
              <w:jc w:val="right"/>
              <w:rPr/>
            </w:pPr>
            <w:r>
              <w:rPr/>
              <w:t>(2,250</w:t>
            </w:r>
          </w:p>
        </w:tc>
        <w:tc>
          <w:tcPr>
            <w:tcW w:w="271"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(7,104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81" w:type="dxa"/>
            <w:tcBorders/>
            <w:shd w:fill="CCEEFF" w:val="clear"/>
            <w:vAlign w:val="center"/>
          </w:tcPr>
          <w:p>
            <w:pPr>
              <w:pStyle w:val="TableContents"/>
              <w:bidi w:val="0"/>
              <w:spacing w:before="0" w:after="283"/>
              <w:jc w:val="right"/>
              <w:rPr/>
            </w:pPr>
            <w:r>
              <w:rPr/>
              <w:t>(5,463</w:t>
            </w:r>
          </w:p>
        </w:tc>
        <w:tc>
          <w:tcPr>
            <w:tcW w:w="24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(8,829</w:t>
            </w:r>
          </w:p>
        </w:tc>
        <w:tc>
          <w:tcPr>
            <w:tcW w:w="175" w:type="dxa"/>
            <w:tcBorders/>
            <w:shd w:fill="CCEEFF" w:val="clear"/>
            <w:vAlign w:val="center"/>
          </w:tcPr>
          <w:p>
            <w:pPr>
              <w:pStyle w:val="TableContents"/>
              <w:bidi w:val="0"/>
              <w:spacing w:before="0" w:after="283"/>
              <w:jc w:val="left"/>
              <w:rPr/>
            </w:pPr>
            <w:r>
              <w:rPr/>
              <w:t>) </w:t>
            </w:r>
          </w:p>
        </w:tc>
      </w:tr>
      <w:tr>
        <w:trPr/>
        <w:tc>
          <w:tcPr>
            <w:tcW w:w="2641"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Administrative expenses</w:t>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255" w:type="dxa"/>
            <w:tcBorders/>
            <w:vAlign w:val="center"/>
          </w:tcPr>
          <w:p>
            <w:pPr>
              <w:pStyle w:val="TableContents"/>
              <w:bidi w:val="0"/>
              <w:spacing w:before="0" w:after="283"/>
              <w:jc w:val="right"/>
              <w:rPr/>
            </w:pPr>
            <w:r>
              <w:rPr/>
              <w:t>(1,187</w:t>
            </w:r>
          </w:p>
        </w:tc>
        <w:tc>
          <w:tcPr>
            <w:tcW w:w="271"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05" w:type="dxa"/>
            <w:tcBorders/>
            <w:vAlign w:val="center"/>
          </w:tcPr>
          <w:p>
            <w:pPr>
              <w:pStyle w:val="TableContents"/>
              <w:bidi w:val="0"/>
              <w:spacing w:before="0" w:after="283"/>
              <w:jc w:val="right"/>
              <w:rPr/>
            </w:pPr>
            <w:r>
              <w:rPr/>
              <w:t>(4,523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181" w:type="dxa"/>
            <w:tcBorders/>
            <w:vAlign w:val="center"/>
          </w:tcPr>
          <w:p>
            <w:pPr>
              <w:pStyle w:val="TableContents"/>
              <w:bidi w:val="0"/>
              <w:spacing w:before="0" w:after="283"/>
              <w:jc w:val="right"/>
              <w:rPr/>
            </w:pPr>
            <w:r>
              <w:rPr/>
              <w:t>(2,755</w:t>
            </w:r>
          </w:p>
        </w:tc>
        <w:tc>
          <w:tcPr>
            <w:tcW w:w="24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17" w:type="dxa"/>
            <w:tcBorders/>
            <w:vAlign w:val="center"/>
          </w:tcPr>
          <w:p>
            <w:pPr>
              <w:pStyle w:val="TableContents"/>
              <w:bidi w:val="0"/>
              <w:spacing w:before="0" w:after="283"/>
              <w:jc w:val="right"/>
              <w:rPr/>
            </w:pPr>
            <w:r>
              <w:rPr/>
              <w:t>(5,590</w:t>
            </w:r>
          </w:p>
        </w:tc>
        <w:tc>
          <w:tcPr>
            <w:tcW w:w="175" w:type="dxa"/>
            <w:tcBorders/>
            <w:vAlign w:val="center"/>
          </w:tcPr>
          <w:p>
            <w:pPr>
              <w:pStyle w:val="TableContents"/>
              <w:bidi w:val="0"/>
              <w:spacing w:before="0" w:after="283"/>
              <w:jc w:val="left"/>
              <w:rPr/>
            </w:pPr>
            <w:r>
              <w:rPr/>
              <w:t>) </w:t>
            </w:r>
          </w:p>
        </w:tc>
      </w:tr>
      <w:tr>
        <w:trPr/>
        <w:tc>
          <w:tcPr>
            <w:tcW w:w="2641"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foreign exchange (losses) gains</w:t>
            </w:r>
          </w:p>
        </w:tc>
        <w:tc>
          <w:tcPr>
            <w:tcW w:w="12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sz w:val="4"/>
                <w:szCs w:val="4"/>
              </w:rPr>
            </w:pPr>
            <w:r>
              <w:rPr>
                <w:sz w:val="4"/>
                <w:szCs w:val="4"/>
              </w:rPr>
            </w:r>
          </w:p>
        </w:tc>
        <w:tc>
          <w:tcPr>
            <w:tcW w:w="39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255" w:type="dxa"/>
            <w:tcBorders/>
            <w:shd w:fill="CCEEFF" w:val="clear"/>
            <w:vAlign w:val="center"/>
          </w:tcPr>
          <w:p>
            <w:pPr>
              <w:pStyle w:val="TableContents"/>
              <w:bidi w:val="0"/>
              <w:spacing w:before="0" w:after="283"/>
              <w:jc w:val="right"/>
              <w:rPr/>
            </w:pPr>
            <w:r>
              <w:rPr/>
              <w:t>(110</w:t>
            </w:r>
          </w:p>
        </w:tc>
        <w:tc>
          <w:tcPr>
            <w:tcW w:w="271"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(202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81" w:type="dxa"/>
            <w:tcBorders/>
            <w:shd w:fill="CCEEFF" w:val="clear"/>
            <w:vAlign w:val="center"/>
          </w:tcPr>
          <w:p>
            <w:pPr>
              <w:pStyle w:val="TableContents"/>
              <w:bidi w:val="0"/>
              <w:spacing w:before="0" w:after="283"/>
              <w:jc w:val="right"/>
              <w:rPr/>
            </w:pPr>
            <w:r>
              <w:rPr/>
              <w:t>253</w:t>
            </w:r>
          </w:p>
        </w:tc>
        <w:tc>
          <w:tcPr>
            <w:tcW w:w="24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(261</w:t>
            </w:r>
          </w:p>
        </w:tc>
        <w:tc>
          <w:tcPr>
            <w:tcW w:w="175" w:type="dxa"/>
            <w:tcBorders/>
            <w:shd w:fill="CCEEFF" w:val="clear"/>
            <w:vAlign w:val="center"/>
          </w:tcPr>
          <w:p>
            <w:pPr>
              <w:pStyle w:val="TableContents"/>
              <w:bidi w:val="0"/>
              <w:spacing w:before="0" w:after="283"/>
              <w:jc w:val="left"/>
              <w:rPr/>
            </w:pPr>
            <w:r>
              <w:rPr/>
              <w:t>) </w:t>
            </w:r>
          </w:p>
        </w:tc>
      </w:tr>
      <w:tr>
        <w:trPr/>
        <w:tc>
          <w:tcPr>
            <w:tcW w:w="26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71"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0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8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4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1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5" w:type="dxa"/>
            <w:tcBorders/>
            <w:vAlign w:val="center"/>
          </w:tcPr>
          <w:p>
            <w:pPr>
              <w:pStyle w:val="TableContents"/>
              <w:bidi w:val="0"/>
              <w:spacing w:before="0" w:after="283"/>
              <w:jc w:val="left"/>
              <w:rPr/>
            </w:pPr>
            <w:r>
              <w:rPr/>
              <w:t> </w:t>
            </w:r>
          </w:p>
        </w:tc>
      </w:tr>
      <w:tr>
        <w:trPr/>
        <w:tc>
          <w:tcPr>
            <w:tcW w:w="2641"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Operating loss</w:t>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0"/>
              <w:jc w:val="left"/>
              <w:rPr>
                <w:spacing w:val="0"/>
              </w:rPr>
            </w:pPr>
            <w:r>
              <w:rPr>
                <w:spacing w:val="0"/>
              </w:rPr>
              <w:t> </w:t>
            </w:r>
          </w:p>
        </w:tc>
        <w:tc>
          <w:tcPr>
            <w:tcW w:w="1255" w:type="dxa"/>
            <w:tcBorders/>
            <w:vAlign w:val="center"/>
          </w:tcPr>
          <w:p>
            <w:pPr>
              <w:pStyle w:val="TableContents"/>
              <w:bidi w:val="0"/>
              <w:spacing w:before="0" w:after="0"/>
              <w:jc w:val="right"/>
              <w:rPr>
                <w:b/>
                <w:spacing w:val="0"/>
              </w:rPr>
            </w:pPr>
            <w:r>
              <w:rPr>
                <w:b/>
                <w:spacing w:val="0"/>
              </w:rPr>
              <w:t>(3,547</w:t>
            </w:r>
          </w:p>
        </w:tc>
        <w:tc>
          <w:tcPr>
            <w:tcW w:w="271" w:type="dxa"/>
            <w:tcBorders/>
            <w:vAlign w:val="center"/>
          </w:tcPr>
          <w:p>
            <w:pPr>
              <w:pStyle w:val="TableContents"/>
              <w:bidi w:val="0"/>
              <w:spacing w:before="0" w:after="0"/>
              <w:jc w:val="left"/>
              <w:rPr>
                <w:b/>
                <w:spacing w:val="0"/>
              </w:rPr>
            </w:pPr>
            <w:r>
              <w:rPr>
                <w:b/>
                <w:spacing w:val="0"/>
              </w:rPr>
              <w:t>) </w:t>
            </w:r>
          </w:p>
        </w:tc>
        <w:tc>
          <w:tcPr>
            <w:tcW w:w="105"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0"/>
              <w:jc w:val="left"/>
              <w:rPr>
                <w:spacing w:val="0"/>
              </w:rPr>
            </w:pPr>
            <w:r>
              <w:rPr>
                <w:spacing w:val="0"/>
              </w:rPr>
              <w:t> </w:t>
            </w:r>
          </w:p>
        </w:tc>
        <w:tc>
          <w:tcPr>
            <w:tcW w:w="1405" w:type="dxa"/>
            <w:tcBorders/>
            <w:vAlign w:val="center"/>
          </w:tcPr>
          <w:p>
            <w:pPr>
              <w:pStyle w:val="TableContents"/>
              <w:bidi w:val="0"/>
              <w:spacing w:before="0" w:after="0"/>
              <w:jc w:val="right"/>
              <w:rPr>
                <w:b/>
                <w:spacing w:val="0"/>
              </w:rPr>
            </w:pPr>
            <w:r>
              <w:rPr>
                <w:b/>
                <w:spacing w:val="0"/>
              </w:rPr>
              <w:t>(11,829</w:t>
            </w:r>
          </w:p>
        </w:tc>
        <w:tc>
          <w:tcPr>
            <w:tcW w:w="155" w:type="dxa"/>
            <w:tcBorders/>
            <w:vAlign w:val="center"/>
          </w:tcPr>
          <w:p>
            <w:pPr>
              <w:pStyle w:val="TableContents"/>
              <w:bidi w:val="0"/>
              <w:spacing w:before="0" w:after="0"/>
              <w:jc w:val="left"/>
              <w:rPr>
                <w:b/>
                <w:spacing w:val="0"/>
              </w:rPr>
            </w:pPr>
            <w:r>
              <w:rPr>
                <w:b/>
                <w:spacing w:val="0"/>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spacing w:val="0"/>
              </w:rPr>
            </w:pPr>
            <w:r>
              <w:rPr>
                <w:spacing w:val="0"/>
              </w:rPr>
              <w:t> </w:t>
            </w:r>
          </w:p>
        </w:tc>
        <w:tc>
          <w:tcPr>
            <w:tcW w:w="1181" w:type="dxa"/>
            <w:tcBorders/>
            <w:vAlign w:val="center"/>
          </w:tcPr>
          <w:p>
            <w:pPr>
              <w:pStyle w:val="TableContents"/>
              <w:bidi w:val="0"/>
              <w:spacing w:before="0" w:after="0"/>
              <w:jc w:val="right"/>
              <w:rPr>
                <w:b/>
                <w:spacing w:val="0"/>
              </w:rPr>
            </w:pPr>
            <w:r>
              <w:rPr>
                <w:b/>
                <w:spacing w:val="0"/>
              </w:rPr>
              <w:t>(7,965</w:t>
            </w:r>
          </w:p>
        </w:tc>
        <w:tc>
          <w:tcPr>
            <w:tcW w:w="244" w:type="dxa"/>
            <w:tcBorders/>
            <w:vAlign w:val="center"/>
          </w:tcPr>
          <w:p>
            <w:pPr>
              <w:pStyle w:val="TableContents"/>
              <w:bidi w:val="0"/>
              <w:spacing w:before="0" w:after="0"/>
              <w:jc w:val="left"/>
              <w:rPr>
                <w:b/>
                <w:spacing w:val="0"/>
              </w:rPr>
            </w:pPr>
            <w:r>
              <w:rPr>
                <w:b/>
                <w:spacing w:val="0"/>
              </w:rPr>
              <w:t>) </w:t>
            </w:r>
          </w:p>
        </w:tc>
        <w:tc>
          <w:tcPr>
            <w:tcW w:w="94"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0"/>
              <w:jc w:val="left"/>
              <w:rPr>
                <w:spacing w:val="0"/>
              </w:rPr>
            </w:pPr>
            <w:r>
              <w:rPr>
                <w:spacing w:val="0"/>
              </w:rPr>
              <w:t> </w:t>
            </w:r>
          </w:p>
        </w:tc>
        <w:tc>
          <w:tcPr>
            <w:tcW w:w="1317" w:type="dxa"/>
            <w:tcBorders/>
            <w:vAlign w:val="center"/>
          </w:tcPr>
          <w:p>
            <w:pPr>
              <w:pStyle w:val="TableContents"/>
              <w:bidi w:val="0"/>
              <w:spacing w:before="0" w:after="0"/>
              <w:jc w:val="right"/>
              <w:rPr>
                <w:b/>
                <w:spacing w:val="0"/>
              </w:rPr>
            </w:pPr>
            <w:r>
              <w:rPr>
                <w:b/>
                <w:spacing w:val="0"/>
              </w:rPr>
              <w:t>(14,680</w:t>
            </w:r>
          </w:p>
        </w:tc>
        <w:tc>
          <w:tcPr>
            <w:tcW w:w="175" w:type="dxa"/>
            <w:tcBorders/>
            <w:vAlign w:val="center"/>
          </w:tcPr>
          <w:p>
            <w:pPr>
              <w:pStyle w:val="TableContents"/>
              <w:bidi w:val="0"/>
              <w:spacing w:before="0" w:after="0"/>
              <w:jc w:val="left"/>
              <w:rPr>
                <w:b/>
                <w:spacing w:val="0"/>
              </w:rPr>
            </w:pPr>
            <w:r>
              <w:rPr>
                <w:b/>
                <w:spacing w:val="0"/>
              </w:rPr>
              <w:t>) </w:t>
            </w:r>
          </w:p>
        </w:tc>
      </w:tr>
      <w:tr>
        <w:trPr/>
        <w:tc>
          <w:tcPr>
            <w:tcW w:w="2641"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Finance income</w:t>
            </w:r>
          </w:p>
        </w:tc>
        <w:tc>
          <w:tcPr>
            <w:tcW w:w="12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sz w:val="4"/>
                <w:szCs w:val="4"/>
              </w:rPr>
            </w:pPr>
            <w:r>
              <w:rPr>
                <w:sz w:val="4"/>
                <w:szCs w:val="4"/>
              </w:rPr>
            </w:r>
          </w:p>
        </w:tc>
        <w:tc>
          <w:tcPr>
            <w:tcW w:w="39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255" w:type="dxa"/>
            <w:tcBorders/>
            <w:shd w:fill="CCEEFF" w:val="clear"/>
            <w:vAlign w:val="center"/>
          </w:tcPr>
          <w:p>
            <w:pPr>
              <w:pStyle w:val="TableContents"/>
              <w:bidi w:val="0"/>
              <w:spacing w:before="0" w:after="283"/>
              <w:jc w:val="right"/>
              <w:rPr/>
            </w:pPr>
            <w:r>
              <w:rPr/>
              <w:t>134</w:t>
            </w:r>
          </w:p>
        </w:tc>
        <w:tc>
          <w:tcPr>
            <w:tcW w:w="271"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35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81" w:type="dxa"/>
            <w:tcBorders/>
            <w:shd w:fill="CCEEFF" w:val="clear"/>
            <w:vAlign w:val="center"/>
          </w:tcPr>
          <w:p>
            <w:pPr>
              <w:pStyle w:val="TableContents"/>
              <w:bidi w:val="0"/>
              <w:spacing w:before="0" w:after="283"/>
              <w:jc w:val="right"/>
              <w:rPr/>
            </w:pPr>
            <w:r>
              <w:rPr/>
              <w:t>277</w:t>
            </w:r>
          </w:p>
        </w:tc>
        <w:tc>
          <w:tcPr>
            <w:tcW w:w="24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60</w:t>
            </w:r>
          </w:p>
        </w:tc>
        <w:tc>
          <w:tcPr>
            <w:tcW w:w="175" w:type="dxa"/>
            <w:tcBorders/>
            <w:shd w:fill="CCEEFF" w:val="clear"/>
            <w:vAlign w:val="center"/>
          </w:tcPr>
          <w:p>
            <w:pPr>
              <w:pStyle w:val="TableContents"/>
              <w:bidi w:val="0"/>
              <w:spacing w:before="0" w:after="283"/>
              <w:jc w:val="left"/>
              <w:rPr/>
            </w:pPr>
            <w:r>
              <w:rPr/>
              <w:t> </w:t>
            </w:r>
          </w:p>
        </w:tc>
      </w:tr>
      <w:tr>
        <w:trPr/>
        <w:tc>
          <w:tcPr>
            <w:tcW w:w="2641"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Finance expense</w:t>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before="0" w:after="283"/>
              <w:jc w:val="right"/>
              <w:rPr/>
            </w:pPr>
            <w:r>
              <w:rPr/>
              <w:t>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255" w:type="dxa"/>
            <w:tcBorders/>
            <w:vAlign w:val="center"/>
          </w:tcPr>
          <w:p>
            <w:pPr>
              <w:pStyle w:val="TableContents"/>
              <w:bidi w:val="0"/>
              <w:spacing w:before="0" w:after="283"/>
              <w:jc w:val="right"/>
              <w:rPr/>
            </w:pPr>
            <w:r>
              <w:rPr/>
              <w:t>— </w:t>
            </w:r>
          </w:p>
        </w:tc>
        <w:tc>
          <w:tcPr>
            <w:tcW w:w="271"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05" w:type="dxa"/>
            <w:tcBorders/>
            <w:vAlign w:val="center"/>
          </w:tcPr>
          <w:p>
            <w:pPr>
              <w:pStyle w:val="TableContents"/>
              <w:bidi w:val="0"/>
              <w:spacing w:before="0" w:after="283"/>
              <w:jc w:val="right"/>
              <w:rPr/>
            </w:pPr>
            <w:r>
              <w:rPr/>
              <w:t>(12,648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181" w:type="dxa"/>
            <w:tcBorders/>
            <w:vAlign w:val="center"/>
          </w:tcPr>
          <w:p>
            <w:pPr>
              <w:pStyle w:val="TableContents"/>
              <w:bidi w:val="0"/>
              <w:spacing w:before="0" w:after="283"/>
              <w:jc w:val="right"/>
              <w:rPr/>
            </w:pPr>
            <w:r>
              <w:rPr/>
              <w:t>— </w:t>
            </w:r>
          </w:p>
        </w:tc>
        <w:tc>
          <w:tcPr>
            <w:tcW w:w="24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17" w:type="dxa"/>
            <w:tcBorders/>
            <w:vAlign w:val="center"/>
          </w:tcPr>
          <w:p>
            <w:pPr>
              <w:pStyle w:val="TableContents"/>
              <w:bidi w:val="0"/>
              <w:spacing w:before="0" w:after="283"/>
              <w:jc w:val="right"/>
              <w:rPr/>
            </w:pPr>
            <w:r>
              <w:rPr/>
              <w:t>(12,648</w:t>
            </w:r>
          </w:p>
        </w:tc>
        <w:tc>
          <w:tcPr>
            <w:tcW w:w="175" w:type="dxa"/>
            <w:tcBorders/>
            <w:vAlign w:val="center"/>
          </w:tcPr>
          <w:p>
            <w:pPr>
              <w:pStyle w:val="TableContents"/>
              <w:bidi w:val="0"/>
              <w:spacing w:before="0" w:after="283"/>
              <w:jc w:val="left"/>
              <w:rPr/>
            </w:pPr>
            <w:r>
              <w:rPr/>
              <w:t>) </w:t>
            </w:r>
          </w:p>
        </w:tc>
      </w:tr>
      <w:tr>
        <w:trPr/>
        <w:tc>
          <w:tcPr>
            <w:tcW w:w="26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71"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0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8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4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1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5" w:type="dxa"/>
            <w:tcBorders/>
            <w:vAlign w:val="center"/>
          </w:tcPr>
          <w:p>
            <w:pPr>
              <w:pStyle w:val="TableContents"/>
              <w:bidi w:val="0"/>
              <w:spacing w:before="0" w:after="283"/>
              <w:jc w:val="left"/>
              <w:rPr/>
            </w:pPr>
            <w:r>
              <w:rPr/>
              <w:t> </w:t>
            </w:r>
          </w:p>
        </w:tc>
      </w:tr>
      <w:tr>
        <w:trPr/>
        <w:tc>
          <w:tcPr>
            <w:tcW w:w="2641"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Loss before tax</w:t>
            </w:r>
          </w:p>
        </w:tc>
        <w:tc>
          <w:tcPr>
            <w:tcW w:w="12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sz w:val="4"/>
                <w:szCs w:val="4"/>
              </w:rPr>
            </w:pPr>
            <w:r>
              <w:rPr>
                <w:sz w:val="4"/>
                <w:szCs w:val="4"/>
              </w:rPr>
            </w:r>
          </w:p>
        </w:tc>
        <w:tc>
          <w:tcPr>
            <w:tcW w:w="39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0"/>
              <w:jc w:val="left"/>
              <w:rPr>
                <w:spacing w:val="0"/>
              </w:rPr>
            </w:pPr>
            <w:r>
              <w:rPr>
                <w:spacing w:val="0"/>
              </w:rPr>
              <w:t> </w:t>
            </w:r>
          </w:p>
        </w:tc>
        <w:tc>
          <w:tcPr>
            <w:tcW w:w="1255" w:type="dxa"/>
            <w:tcBorders/>
            <w:shd w:fill="CCEEFF" w:val="clear"/>
            <w:vAlign w:val="center"/>
          </w:tcPr>
          <w:p>
            <w:pPr>
              <w:pStyle w:val="TableContents"/>
              <w:bidi w:val="0"/>
              <w:spacing w:before="0" w:after="0"/>
              <w:jc w:val="right"/>
              <w:rPr>
                <w:b/>
                <w:spacing w:val="0"/>
              </w:rPr>
            </w:pPr>
            <w:r>
              <w:rPr>
                <w:b/>
                <w:spacing w:val="0"/>
              </w:rPr>
              <w:t>(3,413</w:t>
            </w:r>
          </w:p>
        </w:tc>
        <w:tc>
          <w:tcPr>
            <w:tcW w:w="271" w:type="dxa"/>
            <w:tcBorders/>
            <w:shd w:fill="CCEEFF" w:val="clear"/>
            <w:vAlign w:val="center"/>
          </w:tcPr>
          <w:p>
            <w:pPr>
              <w:pStyle w:val="TableContents"/>
              <w:bidi w:val="0"/>
              <w:spacing w:before="0" w:after="0"/>
              <w:jc w:val="left"/>
              <w:rPr>
                <w:b/>
                <w:spacing w:val="0"/>
              </w:rPr>
            </w:pPr>
            <w:r>
              <w:rPr>
                <w:b/>
                <w:spacing w:val="0"/>
              </w:rPr>
              <w:t>) </w:t>
            </w:r>
          </w:p>
        </w:tc>
        <w:tc>
          <w:tcPr>
            <w:tcW w:w="105"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0"/>
              <w:jc w:val="left"/>
              <w:rPr>
                <w:spacing w:val="0"/>
              </w:rPr>
            </w:pPr>
            <w:r>
              <w:rPr>
                <w:spacing w:val="0"/>
              </w:rPr>
              <w:t> </w:t>
            </w:r>
          </w:p>
        </w:tc>
        <w:tc>
          <w:tcPr>
            <w:tcW w:w="1405" w:type="dxa"/>
            <w:tcBorders/>
            <w:shd w:fill="CCEEFF" w:val="clear"/>
            <w:vAlign w:val="center"/>
          </w:tcPr>
          <w:p>
            <w:pPr>
              <w:pStyle w:val="TableContents"/>
              <w:bidi w:val="0"/>
              <w:spacing w:before="0" w:after="0"/>
              <w:jc w:val="right"/>
              <w:rPr>
                <w:b/>
                <w:spacing w:val="0"/>
              </w:rPr>
            </w:pPr>
            <w:r>
              <w:rPr>
                <w:b/>
                <w:spacing w:val="0"/>
              </w:rPr>
              <w:t>(24,442</w:t>
            </w:r>
          </w:p>
        </w:tc>
        <w:tc>
          <w:tcPr>
            <w:tcW w:w="155" w:type="dxa"/>
            <w:tcBorders/>
            <w:shd w:fill="CCEEFF" w:val="clear"/>
            <w:vAlign w:val="center"/>
          </w:tcPr>
          <w:p>
            <w:pPr>
              <w:pStyle w:val="TableContents"/>
              <w:bidi w:val="0"/>
              <w:spacing w:before="0" w:after="0"/>
              <w:jc w:val="left"/>
              <w:rPr>
                <w:b/>
                <w:spacing w:val="0"/>
              </w:rPr>
            </w:pPr>
            <w:r>
              <w:rPr>
                <w:b/>
                <w:spacing w:val="0"/>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0"/>
              <w:jc w:val="left"/>
              <w:rPr>
                <w:spacing w:val="0"/>
              </w:rPr>
            </w:pPr>
            <w:r>
              <w:rPr>
                <w:spacing w:val="0"/>
              </w:rPr>
              <w:t> </w:t>
            </w:r>
          </w:p>
        </w:tc>
        <w:tc>
          <w:tcPr>
            <w:tcW w:w="1181" w:type="dxa"/>
            <w:tcBorders/>
            <w:shd w:fill="CCEEFF" w:val="clear"/>
            <w:vAlign w:val="center"/>
          </w:tcPr>
          <w:p>
            <w:pPr>
              <w:pStyle w:val="TableContents"/>
              <w:bidi w:val="0"/>
              <w:spacing w:before="0" w:after="0"/>
              <w:jc w:val="right"/>
              <w:rPr>
                <w:b/>
                <w:spacing w:val="0"/>
              </w:rPr>
            </w:pPr>
            <w:r>
              <w:rPr>
                <w:b/>
                <w:spacing w:val="0"/>
              </w:rPr>
              <w:t>(7,688</w:t>
            </w:r>
          </w:p>
        </w:tc>
        <w:tc>
          <w:tcPr>
            <w:tcW w:w="244" w:type="dxa"/>
            <w:tcBorders/>
            <w:shd w:fill="CCEEFF" w:val="clear"/>
            <w:vAlign w:val="center"/>
          </w:tcPr>
          <w:p>
            <w:pPr>
              <w:pStyle w:val="TableContents"/>
              <w:bidi w:val="0"/>
              <w:spacing w:before="0" w:after="0"/>
              <w:jc w:val="left"/>
              <w:rPr>
                <w:b/>
                <w:spacing w:val="0"/>
              </w:rPr>
            </w:pPr>
            <w:r>
              <w:rPr>
                <w:b/>
                <w:spacing w:val="0"/>
              </w:rPr>
              <w:t>) </w:t>
            </w:r>
          </w:p>
        </w:tc>
        <w:tc>
          <w:tcPr>
            <w:tcW w:w="94"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0"/>
              <w:jc w:val="left"/>
              <w:rPr>
                <w:spacing w:val="0"/>
              </w:rPr>
            </w:pPr>
            <w:r>
              <w:rPr>
                <w:spacing w:val="0"/>
              </w:rPr>
              <w:t> </w:t>
            </w:r>
          </w:p>
        </w:tc>
        <w:tc>
          <w:tcPr>
            <w:tcW w:w="1317" w:type="dxa"/>
            <w:tcBorders/>
            <w:shd w:fill="CCEEFF" w:val="clear"/>
            <w:vAlign w:val="center"/>
          </w:tcPr>
          <w:p>
            <w:pPr>
              <w:pStyle w:val="TableContents"/>
              <w:bidi w:val="0"/>
              <w:spacing w:before="0" w:after="0"/>
              <w:jc w:val="right"/>
              <w:rPr>
                <w:b/>
                <w:spacing w:val="0"/>
              </w:rPr>
            </w:pPr>
            <w:r>
              <w:rPr>
                <w:b/>
                <w:spacing w:val="0"/>
              </w:rPr>
              <w:t>(27,268</w:t>
            </w:r>
          </w:p>
        </w:tc>
        <w:tc>
          <w:tcPr>
            <w:tcW w:w="175" w:type="dxa"/>
            <w:tcBorders/>
            <w:shd w:fill="CCEEFF" w:val="clear"/>
            <w:vAlign w:val="center"/>
          </w:tcPr>
          <w:p>
            <w:pPr>
              <w:pStyle w:val="TableContents"/>
              <w:bidi w:val="0"/>
              <w:spacing w:before="0" w:after="0"/>
              <w:jc w:val="left"/>
              <w:rPr>
                <w:b/>
                <w:spacing w:val="0"/>
              </w:rPr>
            </w:pPr>
            <w:r>
              <w:rPr>
                <w:b/>
                <w:spacing w:val="0"/>
              </w:rPr>
              <w:t>) </w:t>
            </w:r>
          </w:p>
        </w:tc>
      </w:tr>
      <w:tr>
        <w:trPr/>
        <w:tc>
          <w:tcPr>
            <w:tcW w:w="2641"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Income tax credit</w:t>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before="0" w:after="283"/>
              <w:jc w:val="right"/>
              <w:rPr/>
            </w:pPr>
            <w:r>
              <w:rPr/>
              <w:t>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255" w:type="dxa"/>
            <w:tcBorders/>
            <w:vAlign w:val="center"/>
          </w:tcPr>
          <w:p>
            <w:pPr>
              <w:pStyle w:val="TableContents"/>
              <w:bidi w:val="0"/>
              <w:spacing w:before="0" w:after="283"/>
              <w:jc w:val="right"/>
              <w:rPr/>
            </w:pPr>
            <w:r>
              <w:rPr/>
              <w:t>333</w:t>
            </w:r>
          </w:p>
        </w:tc>
        <w:tc>
          <w:tcPr>
            <w:tcW w:w="271"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05" w:type="dxa"/>
            <w:tcBorders/>
            <w:vAlign w:val="center"/>
          </w:tcPr>
          <w:p>
            <w:pPr>
              <w:pStyle w:val="TableContents"/>
              <w:bidi w:val="0"/>
              <w:spacing w:before="0" w:after="283"/>
              <w:jc w:val="right"/>
              <w:rPr/>
            </w:pPr>
            <w:r>
              <w:rPr/>
              <w:t>328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181" w:type="dxa"/>
            <w:tcBorders/>
            <w:vAlign w:val="center"/>
          </w:tcPr>
          <w:p>
            <w:pPr>
              <w:pStyle w:val="TableContents"/>
              <w:bidi w:val="0"/>
              <w:spacing w:before="0" w:after="283"/>
              <w:jc w:val="right"/>
              <w:rPr/>
            </w:pPr>
            <w:r>
              <w:rPr/>
              <w:t>743</w:t>
            </w:r>
          </w:p>
        </w:tc>
        <w:tc>
          <w:tcPr>
            <w:tcW w:w="24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17" w:type="dxa"/>
            <w:tcBorders/>
            <w:vAlign w:val="center"/>
          </w:tcPr>
          <w:p>
            <w:pPr>
              <w:pStyle w:val="TableContents"/>
              <w:bidi w:val="0"/>
              <w:spacing w:before="0" w:after="283"/>
              <w:jc w:val="right"/>
              <w:rPr/>
            </w:pPr>
            <w:r>
              <w:rPr/>
              <w:t>681</w:t>
            </w:r>
          </w:p>
        </w:tc>
        <w:tc>
          <w:tcPr>
            <w:tcW w:w="175" w:type="dxa"/>
            <w:tcBorders/>
            <w:vAlign w:val="center"/>
          </w:tcPr>
          <w:p>
            <w:pPr>
              <w:pStyle w:val="TableContents"/>
              <w:bidi w:val="0"/>
              <w:spacing w:before="0" w:after="283"/>
              <w:jc w:val="left"/>
              <w:rPr/>
            </w:pPr>
            <w:r>
              <w:rPr/>
              <w:t> </w:t>
            </w:r>
          </w:p>
        </w:tc>
      </w:tr>
      <w:tr>
        <w:trPr/>
        <w:tc>
          <w:tcPr>
            <w:tcW w:w="26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71"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0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8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4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1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5" w:type="dxa"/>
            <w:tcBorders/>
            <w:vAlign w:val="center"/>
          </w:tcPr>
          <w:p>
            <w:pPr>
              <w:pStyle w:val="TableContents"/>
              <w:bidi w:val="0"/>
              <w:spacing w:before="0" w:after="283"/>
              <w:jc w:val="left"/>
              <w:rPr/>
            </w:pPr>
            <w:r>
              <w:rPr/>
              <w:t> </w:t>
            </w:r>
          </w:p>
        </w:tc>
      </w:tr>
      <w:tr>
        <w:trPr/>
        <w:tc>
          <w:tcPr>
            <w:tcW w:w="2641"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Loss for the period attributable to equity holders of the Company</w:t>
            </w:r>
          </w:p>
        </w:tc>
        <w:tc>
          <w:tcPr>
            <w:tcW w:w="12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sz w:val="4"/>
                <w:szCs w:val="4"/>
              </w:rPr>
            </w:pPr>
            <w:r>
              <w:rPr>
                <w:sz w:val="4"/>
                <w:szCs w:val="4"/>
              </w:rPr>
            </w:r>
          </w:p>
        </w:tc>
        <w:tc>
          <w:tcPr>
            <w:tcW w:w="39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0"/>
              <w:jc w:val="left"/>
              <w:rPr>
                <w:spacing w:val="0"/>
              </w:rPr>
            </w:pPr>
            <w:r>
              <w:rPr>
                <w:spacing w:val="0"/>
              </w:rPr>
              <w:t> </w:t>
            </w:r>
          </w:p>
        </w:tc>
        <w:tc>
          <w:tcPr>
            <w:tcW w:w="1255" w:type="dxa"/>
            <w:tcBorders/>
            <w:shd w:fill="CCEEFF" w:val="clear"/>
            <w:vAlign w:val="center"/>
          </w:tcPr>
          <w:p>
            <w:pPr>
              <w:pStyle w:val="TableContents"/>
              <w:bidi w:val="0"/>
              <w:spacing w:before="0" w:after="0"/>
              <w:jc w:val="right"/>
              <w:rPr>
                <w:b/>
                <w:spacing w:val="0"/>
              </w:rPr>
            </w:pPr>
            <w:r>
              <w:rPr>
                <w:b/>
                <w:spacing w:val="0"/>
              </w:rPr>
              <w:t>(3,080</w:t>
            </w:r>
          </w:p>
        </w:tc>
        <w:tc>
          <w:tcPr>
            <w:tcW w:w="271" w:type="dxa"/>
            <w:tcBorders/>
            <w:shd w:fill="CCEEFF" w:val="clear"/>
            <w:vAlign w:val="center"/>
          </w:tcPr>
          <w:p>
            <w:pPr>
              <w:pStyle w:val="TableContents"/>
              <w:bidi w:val="0"/>
              <w:spacing w:before="0" w:after="0"/>
              <w:jc w:val="left"/>
              <w:rPr>
                <w:b/>
                <w:spacing w:val="0"/>
              </w:rPr>
            </w:pPr>
            <w:r>
              <w:rPr>
                <w:b/>
                <w:spacing w:val="0"/>
              </w:rPr>
              <w:t>) </w:t>
            </w:r>
          </w:p>
        </w:tc>
        <w:tc>
          <w:tcPr>
            <w:tcW w:w="105"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0"/>
              <w:jc w:val="left"/>
              <w:rPr>
                <w:spacing w:val="0"/>
              </w:rPr>
            </w:pPr>
            <w:r>
              <w:rPr>
                <w:spacing w:val="0"/>
              </w:rPr>
              <w:t> </w:t>
            </w:r>
          </w:p>
        </w:tc>
        <w:tc>
          <w:tcPr>
            <w:tcW w:w="1405" w:type="dxa"/>
            <w:tcBorders/>
            <w:shd w:fill="CCEEFF" w:val="clear"/>
            <w:vAlign w:val="center"/>
          </w:tcPr>
          <w:p>
            <w:pPr>
              <w:pStyle w:val="TableContents"/>
              <w:bidi w:val="0"/>
              <w:spacing w:before="0" w:after="0"/>
              <w:jc w:val="right"/>
              <w:rPr>
                <w:b/>
                <w:spacing w:val="0"/>
              </w:rPr>
            </w:pPr>
            <w:r>
              <w:rPr>
                <w:b/>
                <w:spacing w:val="0"/>
              </w:rPr>
              <w:t>(24,114</w:t>
            </w:r>
          </w:p>
        </w:tc>
        <w:tc>
          <w:tcPr>
            <w:tcW w:w="155" w:type="dxa"/>
            <w:tcBorders/>
            <w:shd w:fill="CCEEFF" w:val="clear"/>
            <w:vAlign w:val="center"/>
          </w:tcPr>
          <w:p>
            <w:pPr>
              <w:pStyle w:val="TableContents"/>
              <w:bidi w:val="0"/>
              <w:spacing w:before="0" w:after="0"/>
              <w:jc w:val="left"/>
              <w:rPr>
                <w:b/>
                <w:spacing w:val="0"/>
              </w:rPr>
            </w:pPr>
            <w:r>
              <w:rPr>
                <w:b/>
                <w:spacing w:val="0"/>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0"/>
              <w:jc w:val="left"/>
              <w:rPr>
                <w:spacing w:val="0"/>
              </w:rPr>
            </w:pPr>
            <w:r>
              <w:rPr>
                <w:spacing w:val="0"/>
              </w:rPr>
              <w:t> </w:t>
            </w:r>
          </w:p>
        </w:tc>
        <w:tc>
          <w:tcPr>
            <w:tcW w:w="1181" w:type="dxa"/>
            <w:tcBorders/>
            <w:shd w:fill="CCEEFF" w:val="clear"/>
            <w:vAlign w:val="center"/>
          </w:tcPr>
          <w:p>
            <w:pPr>
              <w:pStyle w:val="TableContents"/>
              <w:bidi w:val="0"/>
              <w:spacing w:before="0" w:after="0"/>
              <w:jc w:val="right"/>
              <w:rPr>
                <w:b/>
                <w:spacing w:val="0"/>
              </w:rPr>
            </w:pPr>
            <w:r>
              <w:rPr>
                <w:b/>
                <w:spacing w:val="0"/>
              </w:rPr>
              <w:t>(6,945</w:t>
            </w:r>
          </w:p>
        </w:tc>
        <w:tc>
          <w:tcPr>
            <w:tcW w:w="244" w:type="dxa"/>
            <w:tcBorders/>
            <w:shd w:fill="CCEEFF" w:val="clear"/>
            <w:vAlign w:val="center"/>
          </w:tcPr>
          <w:p>
            <w:pPr>
              <w:pStyle w:val="TableContents"/>
              <w:bidi w:val="0"/>
              <w:spacing w:before="0" w:after="0"/>
              <w:jc w:val="left"/>
              <w:rPr>
                <w:b/>
                <w:spacing w:val="0"/>
              </w:rPr>
            </w:pPr>
            <w:r>
              <w:rPr>
                <w:b/>
                <w:spacing w:val="0"/>
              </w:rPr>
              <w:t>) </w:t>
            </w:r>
          </w:p>
        </w:tc>
        <w:tc>
          <w:tcPr>
            <w:tcW w:w="94"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0"/>
              <w:jc w:val="left"/>
              <w:rPr>
                <w:spacing w:val="0"/>
              </w:rPr>
            </w:pPr>
            <w:r>
              <w:rPr>
                <w:spacing w:val="0"/>
              </w:rPr>
              <w:t> </w:t>
            </w:r>
          </w:p>
        </w:tc>
        <w:tc>
          <w:tcPr>
            <w:tcW w:w="1317" w:type="dxa"/>
            <w:tcBorders/>
            <w:shd w:fill="CCEEFF" w:val="clear"/>
            <w:vAlign w:val="center"/>
          </w:tcPr>
          <w:p>
            <w:pPr>
              <w:pStyle w:val="TableContents"/>
              <w:bidi w:val="0"/>
              <w:spacing w:before="0" w:after="0"/>
              <w:jc w:val="right"/>
              <w:rPr>
                <w:b/>
                <w:spacing w:val="0"/>
              </w:rPr>
            </w:pPr>
            <w:r>
              <w:rPr>
                <w:b/>
                <w:spacing w:val="0"/>
              </w:rPr>
              <w:t>(26,587</w:t>
            </w:r>
          </w:p>
        </w:tc>
        <w:tc>
          <w:tcPr>
            <w:tcW w:w="175" w:type="dxa"/>
            <w:tcBorders/>
            <w:shd w:fill="CCEEFF" w:val="clear"/>
            <w:vAlign w:val="center"/>
          </w:tcPr>
          <w:p>
            <w:pPr>
              <w:pStyle w:val="TableContents"/>
              <w:bidi w:val="0"/>
              <w:spacing w:before="0" w:after="0"/>
              <w:jc w:val="left"/>
              <w:rPr>
                <w:b/>
                <w:spacing w:val="0"/>
              </w:rPr>
            </w:pPr>
            <w:r>
              <w:rPr>
                <w:b/>
                <w:spacing w:val="0"/>
              </w:rPr>
              <w:t>) </w:t>
            </w:r>
          </w:p>
        </w:tc>
      </w:tr>
      <w:tr>
        <w:trPr/>
        <w:tc>
          <w:tcPr>
            <w:tcW w:w="26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71"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40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8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4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1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5" w:type="dxa"/>
            <w:tcBorders/>
            <w:vAlign w:val="center"/>
          </w:tcPr>
          <w:p>
            <w:pPr>
              <w:pStyle w:val="TableContents"/>
              <w:bidi w:val="0"/>
              <w:spacing w:before="0" w:after="283"/>
              <w:jc w:val="left"/>
              <w:rPr/>
            </w:pPr>
            <w:r>
              <w:rPr/>
              <w:t> </w:t>
            </w:r>
          </w:p>
        </w:tc>
      </w:tr>
      <w:tr>
        <w:trPr/>
        <w:tc>
          <w:tcPr>
            <w:tcW w:w="2641"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Basic and diluted loss per ordinary share</w:t>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before="0" w:after="283"/>
              <w:jc w:val="right"/>
              <w:rPr/>
            </w:pPr>
            <w:r>
              <w:rPr/>
              <w:t>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255" w:type="dxa"/>
            <w:tcBorders/>
            <w:vAlign w:val="center"/>
          </w:tcPr>
          <w:p>
            <w:pPr>
              <w:pStyle w:val="TableContents"/>
              <w:bidi w:val="0"/>
              <w:spacing w:before="0" w:after="283"/>
              <w:jc w:val="right"/>
              <w:rPr/>
            </w:pPr>
            <w:r>
              <w:rPr/>
              <w:t>(0.00</w:t>
            </w:r>
          </w:p>
        </w:tc>
        <w:tc>
          <w:tcPr>
            <w:tcW w:w="271"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05" w:type="dxa"/>
            <w:tcBorders/>
            <w:vAlign w:val="center"/>
          </w:tcPr>
          <w:p>
            <w:pPr>
              <w:pStyle w:val="TableContents"/>
              <w:bidi w:val="0"/>
              <w:spacing w:before="0" w:after="283"/>
              <w:jc w:val="right"/>
              <w:rPr/>
            </w:pPr>
            <w:r>
              <w:rPr/>
              <w:t>(0.00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181" w:type="dxa"/>
            <w:tcBorders/>
            <w:vAlign w:val="center"/>
          </w:tcPr>
          <w:p>
            <w:pPr>
              <w:pStyle w:val="TableContents"/>
              <w:bidi w:val="0"/>
              <w:spacing w:before="0" w:after="283"/>
              <w:jc w:val="right"/>
              <w:rPr/>
            </w:pPr>
            <w:r>
              <w:rPr/>
              <w:t>(0.00</w:t>
            </w:r>
          </w:p>
        </w:tc>
        <w:tc>
          <w:tcPr>
            <w:tcW w:w="24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17" w:type="dxa"/>
            <w:tcBorders/>
            <w:vAlign w:val="center"/>
          </w:tcPr>
          <w:p>
            <w:pPr>
              <w:pStyle w:val="TableContents"/>
              <w:bidi w:val="0"/>
              <w:spacing w:before="0" w:after="283"/>
              <w:jc w:val="right"/>
              <w:rPr/>
            </w:pPr>
            <w:r>
              <w:rPr/>
              <w:t>(0.01</w:t>
            </w:r>
          </w:p>
        </w:tc>
        <w:tc>
          <w:tcPr>
            <w:tcW w:w="175"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pacing w:val="0"/>
          <w:sz w:val="20"/>
        </w:rPr>
      </w:pPr>
      <w:r>
        <w:rPr>
          <w:rFonts w:ascii="Times New Roman" w:hAnsi="Times New Roman"/>
          <w:spacing w:val="0"/>
          <w:sz w:val="20"/>
        </w:rPr>
        <w:t xml:space="preserve">The accompanying notes form an integral part of these unaudited condensed consolidated financial statements.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NUCANA PLC </w:t>
      </w: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 xml:space="preserve">UNAUDITED CONDENSED CONSOLIDATED STATEMENTS OF COMPREHENSIVE LOSS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3407"/>
        <w:gridCol w:w="120"/>
        <w:gridCol w:w="127"/>
        <w:gridCol w:w="1358"/>
        <w:gridCol w:w="271"/>
        <w:gridCol w:w="105"/>
        <w:gridCol w:w="116"/>
        <w:gridCol w:w="1463"/>
        <w:gridCol w:w="155"/>
        <w:gridCol w:w="60"/>
        <w:gridCol w:w="107"/>
        <w:gridCol w:w="1149"/>
        <w:gridCol w:w="204"/>
        <w:gridCol w:w="79"/>
        <w:gridCol w:w="95"/>
        <w:gridCol w:w="1213"/>
        <w:gridCol w:w="176"/>
      </w:tblGrid>
      <w:tr>
        <w:trPr/>
        <w:tc>
          <w:tcPr>
            <w:tcW w:w="340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407"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40" w:type="dxa"/>
            <w:gridSpan w:val="6"/>
            <w:tcBorders/>
            <w:vAlign w:val="center"/>
          </w:tcPr>
          <w:p>
            <w:pPr>
              <w:pStyle w:val="TableContents"/>
              <w:bidi w:val="0"/>
              <w:spacing w:before="0" w:after="0"/>
              <w:jc w:val="center"/>
              <w:rPr>
                <w:b/>
                <w:spacing w:val="0"/>
              </w:rPr>
            </w:pPr>
            <w:r>
              <w:rPr>
                <w:b/>
                <w:spacing w:val="0"/>
              </w:rPr>
              <w:t>For the Three Months Ended</w:t>
              <w:br/>
              <w:t>June 30,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47" w:type="dxa"/>
            <w:gridSpan w:val="6"/>
            <w:tcBorders/>
            <w:vAlign w:val="center"/>
          </w:tcPr>
          <w:p>
            <w:pPr>
              <w:pStyle w:val="TableContents"/>
              <w:bidi w:val="0"/>
              <w:spacing w:before="0" w:after="0"/>
              <w:jc w:val="center"/>
              <w:rPr>
                <w:b/>
                <w:spacing w:val="0"/>
              </w:rPr>
            </w:pPr>
            <w:r>
              <w:rPr>
                <w:b/>
                <w:spacing w:val="0"/>
              </w:rPr>
              <w:t>For the Six Months Ended</w:t>
            </w:r>
          </w:p>
          <w:p>
            <w:pPr>
              <w:pStyle w:val="TableContents"/>
              <w:bidi w:val="0"/>
              <w:spacing w:before="0" w:after="0"/>
              <w:jc w:val="center"/>
              <w:rPr/>
            </w:pPr>
            <w:r>
              <w:rPr/>
            </w:r>
          </w:p>
          <w:p>
            <w:pPr>
              <w:pStyle w:val="TableContents"/>
              <w:bidi w:val="0"/>
              <w:spacing w:before="0" w:after="0"/>
              <w:jc w:val="center"/>
              <w:rPr>
                <w:b/>
                <w:spacing w:val="0"/>
              </w:rPr>
            </w:pPr>
            <w:r>
              <w:rPr>
                <w:b/>
                <w:spacing w:val="0"/>
              </w:rPr>
              <w:t>June 30,</w:t>
            </w:r>
          </w:p>
        </w:tc>
        <w:tc>
          <w:tcPr>
            <w:tcW w:w="176" w:type="dxa"/>
            <w:tcBorders/>
            <w:vAlign w:val="center"/>
          </w:tcPr>
          <w:p>
            <w:pPr>
              <w:pStyle w:val="TableContents"/>
              <w:bidi w:val="0"/>
              <w:spacing w:before="0" w:after="283"/>
              <w:jc w:val="left"/>
              <w:rPr/>
            </w:pPr>
            <w:r>
              <w:rPr/>
              <w:t> </w:t>
            </w:r>
          </w:p>
        </w:tc>
      </w:tr>
      <w:tr>
        <w:trPr/>
        <w:tc>
          <w:tcPr>
            <w:tcW w:w="3407"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85" w:type="dxa"/>
            <w:gridSpan w:val="2"/>
            <w:tcBorders/>
            <w:vAlign w:val="center"/>
          </w:tcPr>
          <w:p>
            <w:pPr>
              <w:pStyle w:val="TableContents"/>
              <w:bidi w:val="0"/>
              <w:spacing w:before="0" w:after="0"/>
              <w:jc w:val="center"/>
              <w:rPr>
                <w:spacing w:val="0"/>
              </w:rPr>
            </w:pPr>
            <w:r>
              <w:rPr>
                <w:spacing w:val="0"/>
              </w:rPr>
              <w:t>   </w:t>
            </w:r>
            <w:r>
              <w:rPr>
                <w:b/>
                <w:spacing w:val="0"/>
              </w:rPr>
              <w:t>2026   </w:t>
            </w:r>
          </w:p>
        </w:tc>
        <w:tc>
          <w:tcPr>
            <w:tcW w:w="271"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579" w:type="dxa"/>
            <w:gridSpan w:val="2"/>
            <w:tcBorders/>
            <w:vAlign w:val="center"/>
          </w:tcPr>
          <w:p>
            <w:pPr>
              <w:pStyle w:val="TableContents"/>
              <w:bidi w:val="0"/>
              <w:spacing w:before="0" w:after="0"/>
              <w:jc w:val="center"/>
              <w:rPr>
                <w:spacing w:val="0"/>
              </w:rPr>
            </w:pPr>
            <w:r>
              <w:rPr>
                <w:spacing w:val="0"/>
              </w:rPr>
              <w:t>   </w:t>
            </w:r>
            <w:r>
              <w:rPr>
                <w:b/>
                <w:spacing w:val="0"/>
              </w:rPr>
              <w:t>2025   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6" w:type="dxa"/>
            <w:gridSpan w:val="2"/>
            <w:tcBorders/>
            <w:vAlign w:val="center"/>
          </w:tcPr>
          <w:p>
            <w:pPr>
              <w:pStyle w:val="TableContents"/>
              <w:bidi w:val="0"/>
              <w:spacing w:before="0" w:after="0"/>
              <w:jc w:val="center"/>
              <w:rPr>
                <w:spacing w:val="0"/>
              </w:rPr>
            </w:pPr>
            <w:r>
              <w:rPr>
                <w:spacing w:val="0"/>
              </w:rPr>
              <w:t>   </w:t>
            </w:r>
            <w:r>
              <w:rPr>
                <w:b/>
                <w:spacing w:val="0"/>
              </w:rPr>
              <w:t>2026   </w:t>
            </w:r>
          </w:p>
        </w:tc>
        <w:tc>
          <w:tcPr>
            <w:tcW w:w="204"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308" w:type="dxa"/>
            <w:gridSpan w:val="2"/>
            <w:tcBorders/>
            <w:vAlign w:val="center"/>
          </w:tcPr>
          <w:p>
            <w:pPr>
              <w:pStyle w:val="TableContents"/>
              <w:bidi w:val="0"/>
              <w:spacing w:before="0" w:after="0"/>
              <w:jc w:val="center"/>
              <w:rPr>
                <w:spacing w:val="0"/>
              </w:rPr>
            </w:pPr>
            <w:r>
              <w:rPr>
                <w:spacing w:val="0"/>
              </w:rPr>
              <w:t>   </w:t>
            </w:r>
            <w:r>
              <w:rPr>
                <w:b/>
                <w:spacing w:val="0"/>
              </w:rPr>
              <w:t>2025   </w:t>
            </w:r>
          </w:p>
        </w:tc>
        <w:tc>
          <w:tcPr>
            <w:tcW w:w="176" w:type="dxa"/>
            <w:tcBorders/>
            <w:vAlign w:val="center"/>
          </w:tcPr>
          <w:p>
            <w:pPr>
              <w:pStyle w:val="TableContents"/>
              <w:bidi w:val="0"/>
              <w:spacing w:before="0" w:after="283"/>
              <w:jc w:val="left"/>
              <w:rPr/>
            </w:pPr>
            <w:r>
              <w:rPr/>
              <w:t> </w:t>
            </w:r>
          </w:p>
        </w:tc>
      </w:tr>
      <w:tr>
        <w:trPr/>
        <w:tc>
          <w:tcPr>
            <w:tcW w:w="3407"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02" w:type="dxa"/>
            <w:gridSpan w:val="14"/>
            <w:tcBorders/>
            <w:vAlign w:val="center"/>
          </w:tcPr>
          <w:p>
            <w:pPr>
              <w:pStyle w:val="TableContents"/>
              <w:bidi w:val="0"/>
              <w:spacing w:before="0" w:after="0"/>
              <w:jc w:val="center"/>
              <w:rPr>
                <w:b/>
                <w:spacing w:val="0"/>
              </w:rPr>
            </w:pPr>
            <w:r>
              <w:rPr>
                <w:b/>
                <w:spacing w:val="0"/>
              </w:rPr>
              <w:t>(in thousands)</w:t>
            </w:r>
          </w:p>
        </w:tc>
        <w:tc>
          <w:tcPr>
            <w:tcW w:w="176" w:type="dxa"/>
            <w:tcBorders/>
            <w:vAlign w:val="center"/>
          </w:tcPr>
          <w:p>
            <w:pPr>
              <w:pStyle w:val="TableContents"/>
              <w:bidi w:val="0"/>
              <w:spacing w:before="0" w:after="283"/>
              <w:jc w:val="left"/>
              <w:rPr/>
            </w:pPr>
            <w:r>
              <w:rPr/>
              <w:t> </w:t>
            </w:r>
          </w:p>
        </w:tc>
      </w:tr>
      <w:tr>
        <w:trPr/>
        <w:tc>
          <w:tcPr>
            <w:tcW w:w="3407"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85" w:type="dxa"/>
            <w:gridSpan w:val="2"/>
            <w:tcBorders/>
            <w:vAlign w:val="center"/>
          </w:tcPr>
          <w:p>
            <w:pPr>
              <w:pStyle w:val="TableContents"/>
              <w:bidi w:val="0"/>
              <w:spacing w:before="0" w:after="0"/>
              <w:jc w:val="center"/>
              <w:rPr>
                <w:b/>
                <w:spacing w:val="0"/>
              </w:rPr>
            </w:pPr>
            <w:r>
              <w:rPr>
                <w:b/>
                <w:spacing w:val="0"/>
              </w:rPr>
              <w:t>£</w:t>
            </w:r>
          </w:p>
        </w:tc>
        <w:tc>
          <w:tcPr>
            <w:tcW w:w="271"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579" w:type="dxa"/>
            <w:gridSpan w:val="2"/>
            <w:tcBorders/>
            <w:vAlign w:val="center"/>
          </w:tcPr>
          <w:p>
            <w:pPr>
              <w:pStyle w:val="TableContents"/>
              <w:bidi w:val="0"/>
              <w:spacing w:before="0" w:after="0"/>
              <w:jc w:val="center"/>
              <w:rPr>
                <w:b/>
                <w:spacing w:val="0"/>
              </w:rPr>
            </w:pPr>
            <w:r>
              <w:rPr>
                <w:b/>
                <w:spacing w:val="0"/>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6" w:type="dxa"/>
            <w:gridSpan w:val="2"/>
            <w:tcBorders/>
            <w:vAlign w:val="center"/>
          </w:tcPr>
          <w:p>
            <w:pPr>
              <w:pStyle w:val="TableContents"/>
              <w:bidi w:val="0"/>
              <w:spacing w:before="0" w:after="0"/>
              <w:jc w:val="center"/>
              <w:rPr>
                <w:b/>
                <w:spacing w:val="0"/>
              </w:rPr>
            </w:pPr>
            <w:r>
              <w:rPr>
                <w:b/>
                <w:spacing w:val="0"/>
              </w:rPr>
              <w:t>£</w:t>
            </w:r>
          </w:p>
        </w:tc>
        <w:tc>
          <w:tcPr>
            <w:tcW w:w="204"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308" w:type="dxa"/>
            <w:gridSpan w:val="2"/>
            <w:tcBorders/>
            <w:vAlign w:val="center"/>
          </w:tcPr>
          <w:p>
            <w:pPr>
              <w:pStyle w:val="TableContents"/>
              <w:bidi w:val="0"/>
              <w:spacing w:before="0" w:after="0"/>
              <w:jc w:val="center"/>
              <w:rPr>
                <w:b/>
                <w:spacing w:val="0"/>
              </w:rPr>
            </w:pPr>
            <w:r>
              <w:rPr>
                <w:b/>
                <w:spacing w:val="0"/>
              </w:rPr>
              <w:t>£</w:t>
            </w:r>
          </w:p>
        </w:tc>
        <w:tc>
          <w:tcPr>
            <w:tcW w:w="176" w:type="dxa"/>
            <w:tcBorders/>
            <w:vAlign w:val="center"/>
          </w:tcPr>
          <w:p>
            <w:pPr>
              <w:pStyle w:val="TableContents"/>
              <w:bidi w:val="0"/>
              <w:spacing w:before="0" w:after="283"/>
              <w:jc w:val="left"/>
              <w:rPr/>
            </w:pPr>
            <w:r>
              <w:rPr/>
              <w:t> </w:t>
            </w:r>
          </w:p>
        </w:tc>
      </w:tr>
      <w:tr>
        <w:trPr/>
        <w:tc>
          <w:tcPr>
            <w:tcW w:w="3407"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Loss for the period</w:t>
            </w:r>
          </w:p>
        </w:tc>
        <w:tc>
          <w:tcPr>
            <w:tcW w:w="12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0"/>
              <w:jc w:val="left"/>
              <w:rPr>
                <w:spacing w:val="0"/>
              </w:rPr>
            </w:pPr>
            <w:r>
              <w:rPr>
                <w:spacing w:val="0"/>
              </w:rPr>
              <w:t> </w:t>
            </w:r>
          </w:p>
        </w:tc>
        <w:tc>
          <w:tcPr>
            <w:tcW w:w="1358" w:type="dxa"/>
            <w:tcBorders/>
            <w:shd w:fill="CCEEFF" w:val="clear"/>
            <w:vAlign w:val="center"/>
          </w:tcPr>
          <w:p>
            <w:pPr>
              <w:pStyle w:val="TableContents"/>
              <w:bidi w:val="0"/>
              <w:spacing w:before="0" w:after="0"/>
              <w:jc w:val="right"/>
              <w:rPr>
                <w:b/>
                <w:spacing w:val="0"/>
              </w:rPr>
            </w:pPr>
            <w:r>
              <w:rPr>
                <w:b/>
                <w:spacing w:val="0"/>
              </w:rPr>
              <w:t>(3,080</w:t>
            </w:r>
          </w:p>
        </w:tc>
        <w:tc>
          <w:tcPr>
            <w:tcW w:w="271" w:type="dxa"/>
            <w:tcBorders/>
            <w:shd w:fill="CCEEFF" w:val="clear"/>
            <w:vAlign w:val="center"/>
          </w:tcPr>
          <w:p>
            <w:pPr>
              <w:pStyle w:val="TableContents"/>
              <w:bidi w:val="0"/>
              <w:spacing w:before="0" w:after="0"/>
              <w:jc w:val="left"/>
              <w:rPr>
                <w:b/>
                <w:spacing w:val="0"/>
              </w:rPr>
            </w:pPr>
            <w:r>
              <w:rPr>
                <w:b/>
                <w:spacing w:val="0"/>
              </w:rPr>
              <w:t>) </w:t>
            </w:r>
          </w:p>
        </w:tc>
        <w:tc>
          <w:tcPr>
            <w:tcW w:w="105"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0"/>
              <w:jc w:val="left"/>
              <w:rPr>
                <w:spacing w:val="0"/>
              </w:rPr>
            </w:pPr>
            <w:r>
              <w:rPr>
                <w:spacing w:val="0"/>
              </w:rPr>
              <w:t> </w:t>
            </w:r>
          </w:p>
        </w:tc>
        <w:tc>
          <w:tcPr>
            <w:tcW w:w="1463" w:type="dxa"/>
            <w:tcBorders/>
            <w:shd w:fill="CCEEFF" w:val="clear"/>
            <w:vAlign w:val="center"/>
          </w:tcPr>
          <w:p>
            <w:pPr>
              <w:pStyle w:val="TableContents"/>
              <w:bidi w:val="0"/>
              <w:spacing w:before="0" w:after="0"/>
              <w:jc w:val="right"/>
              <w:rPr>
                <w:b/>
                <w:spacing w:val="0"/>
              </w:rPr>
            </w:pPr>
            <w:r>
              <w:rPr>
                <w:b/>
                <w:spacing w:val="0"/>
              </w:rPr>
              <w:t>(24,114</w:t>
            </w:r>
          </w:p>
        </w:tc>
        <w:tc>
          <w:tcPr>
            <w:tcW w:w="155" w:type="dxa"/>
            <w:tcBorders/>
            <w:shd w:fill="CCEEFF" w:val="clear"/>
            <w:vAlign w:val="center"/>
          </w:tcPr>
          <w:p>
            <w:pPr>
              <w:pStyle w:val="TableContents"/>
              <w:bidi w:val="0"/>
              <w:spacing w:before="0" w:after="0"/>
              <w:jc w:val="left"/>
              <w:rPr>
                <w:b/>
                <w:spacing w:val="0"/>
              </w:rPr>
            </w:pPr>
            <w:r>
              <w:rPr>
                <w:b/>
                <w:spacing w:val="0"/>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0"/>
              <w:jc w:val="left"/>
              <w:rPr>
                <w:spacing w:val="0"/>
              </w:rPr>
            </w:pPr>
            <w:r>
              <w:rPr>
                <w:spacing w:val="0"/>
              </w:rPr>
              <w:t> </w:t>
            </w:r>
          </w:p>
        </w:tc>
        <w:tc>
          <w:tcPr>
            <w:tcW w:w="1149" w:type="dxa"/>
            <w:tcBorders/>
            <w:shd w:fill="CCEEFF" w:val="clear"/>
            <w:vAlign w:val="center"/>
          </w:tcPr>
          <w:p>
            <w:pPr>
              <w:pStyle w:val="TableContents"/>
              <w:bidi w:val="0"/>
              <w:spacing w:before="0" w:after="0"/>
              <w:jc w:val="right"/>
              <w:rPr>
                <w:b/>
                <w:spacing w:val="0"/>
              </w:rPr>
            </w:pPr>
            <w:r>
              <w:rPr>
                <w:b/>
                <w:spacing w:val="0"/>
              </w:rPr>
              <w:t>(6,945</w:t>
            </w:r>
          </w:p>
        </w:tc>
        <w:tc>
          <w:tcPr>
            <w:tcW w:w="204" w:type="dxa"/>
            <w:tcBorders/>
            <w:shd w:fill="CCEEFF" w:val="clear"/>
            <w:vAlign w:val="center"/>
          </w:tcPr>
          <w:p>
            <w:pPr>
              <w:pStyle w:val="TableContents"/>
              <w:bidi w:val="0"/>
              <w:spacing w:before="0" w:after="0"/>
              <w:jc w:val="left"/>
              <w:rPr>
                <w:b/>
                <w:spacing w:val="0"/>
              </w:rPr>
            </w:pPr>
            <w:r>
              <w:rPr>
                <w:b/>
                <w:spacing w:val="0"/>
              </w:rPr>
              <w:t>) </w:t>
            </w:r>
          </w:p>
        </w:tc>
        <w:tc>
          <w:tcPr>
            <w:tcW w:w="79"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0"/>
              <w:jc w:val="left"/>
              <w:rPr>
                <w:spacing w:val="0"/>
              </w:rPr>
            </w:pPr>
            <w:r>
              <w:rPr>
                <w:spacing w:val="0"/>
              </w:rPr>
              <w:t> </w:t>
            </w:r>
          </w:p>
        </w:tc>
        <w:tc>
          <w:tcPr>
            <w:tcW w:w="1213" w:type="dxa"/>
            <w:tcBorders/>
            <w:shd w:fill="CCEEFF" w:val="clear"/>
            <w:vAlign w:val="center"/>
          </w:tcPr>
          <w:p>
            <w:pPr>
              <w:pStyle w:val="TableContents"/>
              <w:bidi w:val="0"/>
              <w:spacing w:before="0" w:after="0"/>
              <w:jc w:val="right"/>
              <w:rPr>
                <w:b/>
                <w:spacing w:val="0"/>
              </w:rPr>
            </w:pPr>
            <w:r>
              <w:rPr>
                <w:b/>
                <w:spacing w:val="0"/>
              </w:rPr>
              <w:t>(26,587</w:t>
            </w:r>
          </w:p>
        </w:tc>
        <w:tc>
          <w:tcPr>
            <w:tcW w:w="176" w:type="dxa"/>
            <w:tcBorders/>
            <w:shd w:fill="CCEEFF" w:val="clear"/>
            <w:vAlign w:val="center"/>
          </w:tcPr>
          <w:p>
            <w:pPr>
              <w:pStyle w:val="TableContents"/>
              <w:bidi w:val="0"/>
              <w:spacing w:before="0" w:after="0"/>
              <w:jc w:val="left"/>
              <w:rPr>
                <w:b/>
                <w:spacing w:val="0"/>
              </w:rPr>
            </w:pPr>
            <w:r>
              <w:rPr>
                <w:b/>
                <w:spacing w:val="0"/>
              </w:rPr>
              <w:t>) </w:t>
            </w:r>
          </w:p>
        </w:tc>
      </w:tr>
      <w:tr>
        <w:trPr/>
        <w:tc>
          <w:tcPr>
            <w:tcW w:w="3407"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Other comprehensive (expense) income:</w:t>
            </w:r>
          </w:p>
        </w:tc>
        <w:tc>
          <w:tcPr>
            <w:tcW w:w="12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407"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Items that may be reclassified subsequently to profit or loss:</w:t>
            </w:r>
          </w:p>
        </w:tc>
        <w:tc>
          <w:tcPr>
            <w:tcW w:w="12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sz w:val="4"/>
                <w:szCs w:val="4"/>
              </w:rPr>
            </w:pPr>
            <w:r>
              <w:rPr>
                <w:sz w:val="4"/>
                <w:szCs w:val="4"/>
              </w:rPr>
            </w:r>
          </w:p>
        </w:tc>
        <w:tc>
          <w:tcPr>
            <w:tcW w:w="1358" w:type="dxa"/>
            <w:tcBorders/>
            <w:shd w:fill="CCEEFF" w:val="clear"/>
            <w:vAlign w:val="center"/>
          </w:tcPr>
          <w:p>
            <w:pPr>
              <w:pStyle w:val="TableContents"/>
              <w:bidi w:val="0"/>
              <w:spacing w:before="0" w:after="283"/>
              <w:jc w:val="left"/>
              <w:rPr>
                <w:sz w:val="4"/>
                <w:szCs w:val="4"/>
              </w:rPr>
            </w:pPr>
            <w:r>
              <w:rPr>
                <w:sz w:val="4"/>
                <w:szCs w:val="4"/>
              </w:rPr>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105"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sz w:val="4"/>
                <w:szCs w:val="4"/>
              </w:rPr>
            </w:pPr>
            <w:r>
              <w:rPr>
                <w:sz w:val="4"/>
                <w:szCs w:val="4"/>
              </w:rPr>
            </w:r>
          </w:p>
        </w:tc>
        <w:tc>
          <w:tcPr>
            <w:tcW w:w="1463"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sz w:val="4"/>
                <w:szCs w:val="4"/>
              </w:rPr>
            </w:pPr>
            <w:r>
              <w:rPr>
                <w:sz w:val="4"/>
                <w:szCs w:val="4"/>
              </w:rPr>
            </w:r>
          </w:p>
        </w:tc>
        <w:tc>
          <w:tcPr>
            <w:tcW w:w="1149" w:type="dxa"/>
            <w:tcBorders/>
            <w:shd w:fill="CCEEFF" w:val="clear"/>
            <w:vAlign w:val="center"/>
          </w:tcPr>
          <w:p>
            <w:pPr>
              <w:pStyle w:val="TableContents"/>
              <w:bidi w:val="0"/>
              <w:spacing w:before="0" w:after="283"/>
              <w:jc w:val="left"/>
              <w:rPr>
                <w:sz w:val="4"/>
                <w:szCs w:val="4"/>
              </w:rPr>
            </w:pPr>
            <w:r>
              <w:rPr>
                <w:sz w:val="4"/>
                <w:szCs w:val="4"/>
              </w:rPr>
            </w:r>
          </w:p>
        </w:tc>
        <w:tc>
          <w:tcPr>
            <w:tcW w:w="204" w:type="dxa"/>
            <w:tcBorders/>
            <w:shd w:fill="CCEEFF" w:val="clear"/>
            <w:vAlign w:val="center"/>
          </w:tcPr>
          <w:p>
            <w:pPr>
              <w:pStyle w:val="TableContents"/>
              <w:bidi w:val="0"/>
              <w:spacing w:before="0" w:after="283"/>
              <w:jc w:val="left"/>
              <w:rPr>
                <w:sz w:val="4"/>
                <w:szCs w:val="4"/>
              </w:rPr>
            </w:pPr>
            <w:r>
              <w:rPr>
                <w:sz w:val="4"/>
                <w:szCs w:val="4"/>
              </w:rPr>
            </w:r>
          </w:p>
        </w:tc>
        <w:tc>
          <w:tcPr>
            <w:tcW w:w="79"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sz w:val="4"/>
                <w:szCs w:val="4"/>
              </w:rPr>
            </w:pPr>
            <w:r>
              <w:rPr>
                <w:sz w:val="4"/>
                <w:szCs w:val="4"/>
              </w:rPr>
            </w:r>
          </w:p>
        </w:tc>
        <w:tc>
          <w:tcPr>
            <w:tcW w:w="1213" w:type="dxa"/>
            <w:tcBorders/>
            <w:shd w:fill="CCEEFF" w:val="clear"/>
            <w:vAlign w:val="center"/>
          </w:tcPr>
          <w:p>
            <w:pPr>
              <w:pStyle w:val="TableContents"/>
              <w:bidi w:val="0"/>
              <w:spacing w:before="0" w:after="283"/>
              <w:jc w:val="left"/>
              <w:rPr>
                <w:sz w:val="4"/>
                <w:szCs w:val="4"/>
              </w:rPr>
            </w:pPr>
            <w:r>
              <w:rPr>
                <w:sz w:val="4"/>
                <w:szCs w:val="4"/>
              </w:rPr>
            </w:r>
          </w:p>
        </w:tc>
        <w:tc>
          <w:tcPr>
            <w:tcW w:w="176" w:type="dxa"/>
            <w:tcBorders/>
            <w:shd w:fill="CCEEFF" w:val="clear"/>
            <w:vAlign w:val="center"/>
          </w:tcPr>
          <w:p>
            <w:pPr>
              <w:pStyle w:val="TableContents"/>
              <w:bidi w:val="0"/>
              <w:spacing w:before="0" w:after="283"/>
              <w:jc w:val="left"/>
              <w:rPr>
                <w:sz w:val="4"/>
                <w:szCs w:val="4"/>
              </w:rPr>
            </w:pPr>
            <w:r>
              <w:rPr>
                <w:sz w:val="4"/>
                <w:szCs w:val="4"/>
              </w:rPr>
            </w:r>
          </w:p>
        </w:tc>
      </w:tr>
      <w:tr>
        <w:trPr/>
        <w:tc>
          <w:tcPr>
            <w:tcW w:w="3407"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Exchange differences on translation of foreign operations</w:t>
            </w:r>
          </w:p>
        </w:tc>
        <w:tc>
          <w:tcPr>
            <w:tcW w:w="12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358" w:type="dxa"/>
            <w:tcBorders/>
            <w:vAlign w:val="center"/>
          </w:tcPr>
          <w:p>
            <w:pPr>
              <w:pStyle w:val="TableContents"/>
              <w:bidi w:val="0"/>
              <w:spacing w:before="0" w:after="283"/>
              <w:jc w:val="right"/>
              <w:rPr/>
            </w:pPr>
            <w:r>
              <w:rPr/>
              <w:t>(5</w:t>
            </w:r>
          </w:p>
        </w:tc>
        <w:tc>
          <w:tcPr>
            <w:tcW w:w="271"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463" w:type="dxa"/>
            <w:tcBorders/>
            <w:vAlign w:val="center"/>
          </w:tcPr>
          <w:p>
            <w:pPr>
              <w:pStyle w:val="TableContents"/>
              <w:bidi w:val="0"/>
              <w:spacing w:before="0" w:after="283"/>
              <w:jc w:val="right"/>
              <w:rPr/>
            </w:pPr>
            <w:r>
              <w:rPr/>
              <w:t>(49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149" w:type="dxa"/>
            <w:tcBorders/>
            <w:vAlign w:val="center"/>
          </w:tcPr>
          <w:p>
            <w:pPr>
              <w:pStyle w:val="TableContents"/>
              <w:bidi w:val="0"/>
              <w:spacing w:before="0" w:after="283"/>
              <w:jc w:val="right"/>
              <w:rPr/>
            </w:pPr>
            <w:r>
              <w:rPr/>
              <w:t>13</w:t>
            </w:r>
          </w:p>
        </w:tc>
        <w:tc>
          <w:tcPr>
            <w:tcW w:w="204"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213" w:type="dxa"/>
            <w:tcBorders/>
            <w:vAlign w:val="center"/>
          </w:tcPr>
          <w:p>
            <w:pPr>
              <w:pStyle w:val="TableContents"/>
              <w:bidi w:val="0"/>
              <w:spacing w:before="0" w:after="283"/>
              <w:jc w:val="right"/>
              <w:rPr/>
            </w:pPr>
            <w:r>
              <w:rPr/>
              <w:t>(76</w:t>
            </w:r>
          </w:p>
        </w:tc>
        <w:tc>
          <w:tcPr>
            <w:tcW w:w="176" w:type="dxa"/>
            <w:tcBorders/>
            <w:vAlign w:val="center"/>
          </w:tcPr>
          <w:p>
            <w:pPr>
              <w:pStyle w:val="TableContents"/>
              <w:bidi w:val="0"/>
              <w:spacing w:before="0" w:after="283"/>
              <w:jc w:val="left"/>
              <w:rPr/>
            </w:pPr>
            <w:r>
              <w:rPr/>
              <w:t>) </w:t>
            </w:r>
          </w:p>
        </w:tc>
      </w:tr>
      <w:tr>
        <w:trPr/>
        <w:tc>
          <w:tcPr>
            <w:tcW w:w="340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5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71"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6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4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04"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1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6" w:type="dxa"/>
            <w:tcBorders/>
            <w:vAlign w:val="center"/>
          </w:tcPr>
          <w:p>
            <w:pPr>
              <w:pStyle w:val="TableContents"/>
              <w:bidi w:val="0"/>
              <w:spacing w:before="0" w:after="283"/>
              <w:jc w:val="left"/>
              <w:rPr/>
            </w:pPr>
            <w:r>
              <w:rPr/>
              <w:t> </w:t>
            </w:r>
          </w:p>
        </w:tc>
      </w:tr>
      <w:tr>
        <w:trPr/>
        <w:tc>
          <w:tcPr>
            <w:tcW w:w="3407"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comprehensive (expense) income for the period</w:t>
            </w:r>
          </w:p>
        </w:tc>
        <w:tc>
          <w:tcPr>
            <w:tcW w:w="12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(5</w:t>
            </w:r>
          </w:p>
        </w:tc>
        <w:tc>
          <w:tcPr>
            <w:tcW w:w="271"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463" w:type="dxa"/>
            <w:tcBorders/>
            <w:shd w:fill="CCEEFF" w:val="clear"/>
            <w:vAlign w:val="center"/>
          </w:tcPr>
          <w:p>
            <w:pPr>
              <w:pStyle w:val="TableContents"/>
              <w:bidi w:val="0"/>
              <w:spacing w:before="0" w:after="283"/>
              <w:jc w:val="right"/>
              <w:rPr/>
            </w:pPr>
            <w:r>
              <w:rPr/>
              <w:t>(49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13</w:t>
            </w:r>
          </w:p>
        </w:tc>
        <w:tc>
          <w:tcPr>
            <w:tcW w:w="204"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pPr>
            <w:r>
              <w:rPr/>
              <w:t>(76</w:t>
            </w:r>
          </w:p>
        </w:tc>
        <w:tc>
          <w:tcPr>
            <w:tcW w:w="176" w:type="dxa"/>
            <w:tcBorders/>
            <w:shd w:fill="CCEEFF" w:val="clear"/>
            <w:vAlign w:val="center"/>
          </w:tcPr>
          <w:p>
            <w:pPr>
              <w:pStyle w:val="TableContents"/>
              <w:bidi w:val="0"/>
              <w:spacing w:before="0" w:after="283"/>
              <w:jc w:val="left"/>
              <w:rPr/>
            </w:pPr>
            <w:r>
              <w:rPr/>
              <w:t>) </w:t>
            </w:r>
          </w:p>
        </w:tc>
      </w:tr>
      <w:tr>
        <w:trPr/>
        <w:tc>
          <w:tcPr>
            <w:tcW w:w="340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5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71"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6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4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04"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1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6" w:type="dxa"/>
            <w:tcBorders/>
            <w:vAlign w:val="center"/>
          </w:tcPr>
          <w:p>
            <w:pPr>
              <w:pStyle w:val="TableContents"/>
              <w:bidi w:val="0"/>
              <w:spacing w:before="0" w:after="283"/>
              <w:jc w:val="left"/>
              <w:rPr/>
            </w:pPr>
            <w:r>
              <w:rPr/>
              <w:t> </w:t>
            </w:r>
          </w:p>
        </w:tc>
      </w:tr>
      <w:tr>
        <w:trPr/>
        <w:tc>
          <w:tcPr>
            <w:tcW w:w="3407"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Total comprehensive loss for the period</w:t>
            </w:r>
          </w:p>
        </w:tc>
        <w:tc>
          <w:tcPr>
            <w:tcW w:w="12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0"/>
              <w:jc w:val="left"/>
              <w:rPr>
                <w:spacing w:val="0"/>
              </w:rPr>
            </w:pPr>
            <w:r>
              <w:rPr>
                <w:spacing w:val="0"/>
              </w:rPr>
              <w:t> </w:t>
            </w:r>
          </w:p>
        </w:tc>
        <w:tc>
          <w:tcPr>
            <w:tcW w:w="1358" w:type="dxa"/>
            <w:tcBorders/>
            <w:vAlign w:val="center"/>
          </w:tcPr>
          <w:p>
            <w:pPr>
              <w:pStyle w:val="TableContents"/>
              <w:bidi w:val="0"/>
              <w:spacing w:before="0" w:after="0"/>
              <w:jc w:val="right"/>
              <w:rPr>
                <w:b/>
                <w:spacing w:val="0"/>
              </w:rPr>
            </w:pPr>
            <w:r>
              <w:rPr>
                <w:b/>
                <w:spacing w:val="0"/>
              </w:rPr>
              <w:t>(3,085</w:t>
            </w:r>
          </w:p>
        </w:tc>
        <w:tc>
          <w:tcPr>
            <w:tcW w:w="271" w:type="dxa"/>
            <w:tcBorders/>
            <w:vAlign w:val="center"/>
          </w:tcPr>
          <w:p>
            <w:pPr>
              <w:pStyle w:val="TableContents"/>
              <w:bidi w:val="0"/>
              <w:spacing w:before="0" w:after="0"/>
              <w:jc w:val="left"/>
              <w:rPr>
                <w:b/>
                <w:spacing w:val="0"/>
              </w:rPr>
            </w:pPr>
            <w:r>
              <w:rPr>
                <w:b/>
                <w:spacing w:val="0"/>
              </w:rPr>
              <w:t>) </w:t>
            </w:r>
          </w:p>
        </w:tc>
        <w:tc>
          <w:tcPr>
            <w:tcW w:w="105"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0"/>
              <w:jc w:val="left"/>
              <w:rPr>
                <w:spacing w:val="0"/>
              </w:rPr>
            </w:pPr>
            <w:r>
              <w:rPr>
                <w:spacing w:val="0"/>
              </w:rPr>
              <w:t> </w:t>
            </w:r>
          </w:p>
        </w:tc>
        <w:tc>
          <w:tcPr>
            <w:tcW w:w="1463" w:type="dxa"/>
            <w:tcBorders/>
            <w:vAlign w:val="center"/>
          </w:tcPr>
          <w:p>
            <w:pPr>
              <w:pStyle w:val="TableContents"/>
              <w:bidi w:val="0"/>
              <w:spacing w:before="0" w:after="0"/>
              <w:jc w:val="right"/>
              <w:rPr>
                <w:b/>
                <w:spacing w:val="0"/>
              </w:rPr>
            </w:pPr>
            <w:r>
              <w:rPr>
                <w:b/>
                <w:spacing w:val="0"/>
              </w:rPr>
              <w:t>(24,163</w:t>
            </w:r>
          </w:p>
        </w:tc>
        <w:tc>
          <w:tcPr>
            <w:tcW w:w="155" w:type="dxa"/>
            <w:tcBorders/>
            <w:vAlign w:val="center"/>
          </w:tcPr>
          <w:p>
            <w:pPr>
              <w:pStyle w:val="TableContents"/>
              <w:bidi w:val="0"/>
              <w:spacing w:before="0" w:after="0"/>
              <w:jc w:val="left"/>
              <w:rPr>
                <w:b/>
                <w:spacing w:val="0"/>
              </w:rPr>
            </w:pPr>
            <w:r>
              <w:rPr>
                <w:b/>
                <w:spacing w:val="0"/>
              </w:rPr>
              <w:t>) </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0"/>
              <w:jc w:val="left"/>
              <w:rPr>
                <w:spacing w:val="0"/>
              </w:rPr>
            </w:pPr>
            <w:r>
              <w:rPr>
                <w:spacing w:val="0"/>
              </w:rPr>
              <w:t> </w:t>
            </w:r>
          </w:p>
        </w:tc>
        <w:tc>
          <w:tcPr>
            <w:tcW w:w="1149" w:type="dxa"/>
            <w:tcBorders/>
            <w:vAlign w:val="center"/>
          </w:tcPr>
          <w:p>
            <w:pPr>
              <w:pStyle w:val="TableContents"/>
              <w:bidi w:val="0"/>
              <w:spacing w:before="0" w:after="0"/>
              <w:jc w:val="right"/>
              <w:rPr>
                <w:b/>
                <w:spacing w:val="0"/>
              </w:rPr>
            </w:pPr>
            <w:r>
              <w:rPr>
                <w:b/>
                <w:spacing w:val="0"/>
              </w:rPr>
              <w:t>(6,932</w:t>
            </w:r>
          </w:p>
        </w:tc>
        <w:tc>
          <w:tcPr>
            <w:tcW w:w="204" w:type="dxa"/>
            <w:tcBorders/>
            <w:vAlign w:val="center"/>
          </w:tcPr>
          <w:p>
            <w:pPr>
              <w:pStyle w:val="TableContents"/>
              <w:bidi w:val="0"/>
              <w:spacing w:before="0" w:after="0"/>
              <w:jc w:val="left"/>
              <w:rPr>
                <w:b/>
                <w:spacing w:val="0"/>
              </w:rPr>
            </w:pPr>
            <w:r>
              <w:rPr>
                <w:b/>
                <w:spacing w:val="0"/>
              </w:rPr>
              <w:t>) </w:t>
            </w:r>
          </w:p>
        </w:tc>
        <w:tc>
          <w:tcPr>
            <w:tcW w:w="79"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0"/>
              <w:jc w:val="left"/>
              <w:rPr>
                <w:spacing w:val="0"/>
              </w:rPr>
            </w:pPr>
            <w:r>
              <w:rPr>
                <w:spacing w:val="0"/>
              </w:rPr>
              <w:t> </w:t>
            </w:r>
          </w:p>
        </w:tc>
        <w:tc>
          <w:tcPr>
            <w:tcW w:w="1213" w:type="dxa"/>
            <w:tcBorders/>
            <w:vAlign w:val="center"/>
          </w:tcPr>
          <w:p>
            <w:pPr>
              <w:pStyle w:val="TableContents"/>
              <w:bidi w:val="0"/>
              <w:spacing w:before="0" w:after="0"/>
              <w:jc w:val="right"/>
              <w:rPr>
                <w:b/>
                <w:spacing w:val="0"/>
              </w:rPr>
            </w:pPr>
            <w:r>
              <w:rPr>
                <w:b/>
                <w:spacing w:val="0"/>
              </w:rPr>
              <w:t>(26,663</w:t>
            </w:r>
          </w:p>
        </w:tc>
        <w:tc>
          <w:tcPr>
            <w:tcW w:w="176" w:type="dxa"/>
            <w:tcBorders/>
            <w:vAlign w:val="center"/>
          </w:tcPr>
          <w:p>
            <w:pPr>
              <w:pStyle w:val="TableContents"/>
              <w:bidi w:val="0"/>
              <w:spacing w:before="0" w:after="0"/>
              <w:jc w:val="left"/>
              <w:rPr>
                <w:b/>
                <w:spacing w:val="0"/>
              </w:rPr>
            </w:pPr>
            <w:r>
              <w:rPr>
                <w:b/>
                <w:spacing w:val="0"/>
              </w:rPr>
              <w:t>) </w:t>
            </w:r>
          </w:p>
        </w:tc>
      </w:tr>
      <w:tr>
        <w:trPr/>
        <w:tc>
          <w:tcPr>
            <w:tcW w:w="340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5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71"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46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4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04"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1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6" w:type="dxa"/>
            <w:tcBorders/>
            <w:vAlign w:val="center"/>
          </w:tcPr>
          <w:p>
            <w:pPr>
              <w:pStyle w:val="TableContents"/>
              <w:bidi w:val="0"/>
              <w:spacing w:before="0" w:after="283"/>
              <w:jc w:val="left"/>
              <w:rPr/>
            </w:pPr>
            <w:r>
              <w:rPr/>
              <w:t> </w:t>
            </w:r>
          </w:p>
        </w:tc>
      </w:tr>
      <w:tr>
        <w:trPr/>
        <w:tc>
          <w:tcPr>
            <w:tcW w:w="3407"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Attributable to:</w:t>
            </w:r>
          </w:p>
        </w:tc>
        <w:tc>
          <w:tcPr>
            <w:tcW w:w="12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sz w:val="4"/>
                <w:szCs w:val="4"/>
              </w:rPr>
            </w:pPr>
            <w:r>
              <w:rPr>
                <w:sz w:val="4"/>
                <w:szCs w:val="4"/>
              </w:rPr>
            </w:r>
          </w:p>
        </w:tc>
        <w:tc>
          <w:tcPr>
            <w:tcW w:w="1358" w:type="dxa"/>
            <w:tcBorders/>
            <w:shd w:fill="CCEEFF" w:val="clear"/>
            <w:vAlign w:val="center"/>
          </w:tcPr>
          <w:p>
            <w:pPr>
              <w:pStyle w:val="TableContents"/>
              <w:bidi w:val="0"/>
              <w:spacing w:before="0" w:after="283"/>
              <w:jc w:val="left"/>
              <w:rPr>
                <w:sz w:val="4"/>
                <w:szCs w:val="4"/>
              </w:rPr>
            </w:pPr>
            <w:r>
              <w:rPr>
                <w:sz w:val="4"/>
                <w:szCs w:val="4"/>
              </w:rPr>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105"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sz w:val="4"/>
                <w:szCs w:val="4"/>
              </w:rPr>
            </w:pPr>
            <w:r>
              <w:rPr>
                <w:sz w:val="4"/>
                <w:szCs w:val="4"/>
              </w:rPr>
            </w:r>
          </w:p>
        </w:tc>
        <w:tc>
          <w:tcPr>
            <w:tcW w:w="1463"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sz w:val="4"/>
                <w:szCs w:val="4"/>
              </w:rPr>
            </w:pPr>
            <w:r>
              <w:rPr>
                <w:sz w:val="4"/>
                <w:szCs w:val="4"/>
              </w:rPr>
            </w:r>
          </w:p>
        </w:tc>
        <w:tc>
          <w:tcPr>
            <w:tcW w:w="1149" w:type="dxa"/>
            <w:tcBorders/>
            <w:shd w:fill="CCEEFF" w:val="clear"/>
            <w:vAlign w:val="center"/>
          </w:tcPr>
          <w:p>
            <w:pPr>
              <w:pStyle w:val="TableContents"/>
              <w:bidi w:val="0"/>
              <w:spacing w:before="0" w:after="283"/>
              <w:jc w:val="left"/>
              <w:rPr>
                <w:sz w:val="4"/>
                <w:szCs w:val="4"/>
              </w:rPr>
            </w:pPr>
            <w:r>
              <w:rPr>
                <w:sz w:val="4"/>
                <w:szCs w:val="4"/>
              </w:rPr>
            </w:r>
          </w:p>
        </w:tc>
        <w:tc>
          <w:tcPr>
            <w:tcW w:w="204" w:type="dxa"/>
            <w:tcBorders/>
            <w:shd w:fill="CCEEFF" w:val="clear"/>
            <w:vAlign w:val="center"/>
          </w:tcPr>
          <w:p>
            <w:pPr>
              <w:pStyle w:val="TableContents"/>
              <w:bidi w:val="0"/>
              <w:spacing w:before="0" w:after="283"/>
              <w:jc w:val="left"/>
              <w:rPr>
                <w:sz w:val="4"/>
                <w:szCs w:val="4"/>
              </w:rPr>
            </w:pPr>
            <w:r>
              <w:rPr>
                <w:sz w:val="4"/>
                <w:szCs w:val="4"/>
              </w:rPr>
            </w:r>
          </w:p>
        </w:tc>
        <w:tc>
          <w:tcPr>
            <w:tcW w:w="79"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sz w:val="4"/>
                <w:szCs w:val="4"/>
              </w:rPr>
            </w:pPr>
            <w:r>
              <w:rPr>
                <w:sz w:val="4"/>
                <w:szCs w:val="4"/>
              </w:rPr>
            </w:r>
          </w:p>
        </w:tc>
        <w:tc>
          <w:tcPr>
            <w:tcW w:w="1213" w:type="dxa"/>
            <w:tcBorders/>
            <w:shd w:fill="CCEEFF" w:val="clear"/>
            <w:vAlign w:val="center"/>
          </w:tcPr>
          <w:p>
            <w:pPr>
              <w:pStyle w:val="TableContents"/>
              <w:bidi w:val="0"/>
              <w:spacing w:before="0" w:after="283"/>
              <w:jc w:val="left"/>
              <w:rPr>
                <w:sz w:val="4"/>
                <w:szCs w:val="4"/>
              </w:rPr>
            </w:pPr>
            <w:r>
              <w:rPr>
                <w:sz w:val="4"/>
                <w:szCs w:val="4"/>
              </w:rPr>
            </w:r>
          </w:p>
        </w:tc>
        <w:tc>
          <w:tcPr>
            <w:tcW w:w="176" w:type="dxa"/>
            <w:tcBorders/>
            <w:shd w:fill="CCEEFF" w:val="clear"/>
            <w:vAlign w:val="center"/>
          </w:tcPr>
          <w:p>
            <w:pPr>
              <w:pStyle w:val="TableContents"/>
              <w:bidi w:val="0"/>
              <w:spacing w:before="0" w:after="283"/>
              <w:jc w:val="left"/>
              <w:rPr>
                <w:sz w:val="4"/>
                <w:szCs w:val="4"/>
              </w:rPr>
            </w:pPr>
            <w:r>
              <w:rPr>
                <w:sz w:val="4"/>
                <w:szCs w:val="4"/>
              </w:rPr>
            </w:r>
          </w:p>
        </w:tc>
      </w:tr>
      <w:tr>
        <w:trPr/>
        <w:tc>
          <w:tcPr>
            <w:tcW w:w="3407"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Equity holders of the Company</w:t>
            </w:r>
          </w:p>
        </w:tc>
        <w:tc>
          <w:tcPr>
            <w:tcW w:w="12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0"/>
              <w:jc w:val="left"/>
              <w:rPr>
                <w:spacing w:val="0"/>
              </w:rPr>
            </w:pPr>
            <w:r>
              <w:rPr>
                <w:spacing w:val="0"/>
              </w:rPr>
              <w:t> </w:t>
            </w:r>
          </w:p>
        </w:tc>
        <w:tc>
          <w:tcPr>
            <w:tcW w:w="1358" w:type="dxa"/>
            <w:tcBorders/>
            <w:vAlign w:val="center"/>
          </w:tcPr>
          <w:p>
            <w:pPr>
              <w:pStyle w:val="TableContents"/>
              <w:bidi w:val="0"/>
              <w:spacing w:before="0" w:after="0"/>
              <w:jc w:val="right"/>
              <w:rPr>
                <w:b/>
                <w:spacing w:val="0"/>
              </w:rPr>
            </w:pPr>
            <w:r>
              <w:rPr>
                <w:b/>
                <w:spacing w:val="0"/>
              </w:rPr>
              <w:t>(3,085</w:t>
            </w:r>
          </w:p>
        </w:tc>
        <w:tc>
          <w:tcPr>
            <w:tcW w:w="271" w:type="dxa"/>
            <w:tcBorders/>
            <w:vAlign w:val="center"/>
          </w:tcPr>
          <w:p>
            <w:pPr>
              <w:pStyle w:val="TableContents"/>
              <w:bidi w:val="0"/>
              <w:spacing w:before="0" w:after="0"/>
              <w:jc w:val="left"/>
              <w:rPr>
                <w:b/>
                <w:spacing w:val="0"/>
              </w:rPr>
            </w:pPr>
            <w:r>
              <w:rPr>
                <w:b/>
                <w:spacing w:val="0"/>
              </w:rPr>
              <w:t>) </w:t>
            </w:r>
          </w:p>
        </w:tc>
        <w:tc>
          <w:tcPr>
            <w:tcW w:w="105"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0"/>
              <w:jc w:val="left"/>
              <w:rPr>
                <w:spacing w:val="0"/>
              </w:rPr>
            </w:pPr>
            <w:r>
              <w:rPr>
                <w:spacing w:val="0"/>
              </w:rPr>
              <w:t> </w:t>
            </w:r>
          </w:p>
        </w:tc>
        <w:tc>
          <w:tcPr>
            <w:tcW w:w="1463" w:type="dxa"/>
            <w:tcBorders/>
            <w:vAlign w:val="center"/>
          </w:tcPr>
          <w:p>
            <w:pPr>
              <w:pStyle w:val="TableContents"/>
              <w:bidi w:val="0"/>
              <w:spacing w:before="0" w:after="0"/>
              <w:jc w:val="right"/>
              <w:rPr>
                <w:b/>
                <w:spacing w:val="0"/>
              </w:rPr>
            </w:pPr>
            <w:r>
              <w:rPr>
                <w:b/>
                <w:spacing w:val="0"/>
              </w:rPr>
              <w:t>(24,163</w:t>
            </w:r>
          </w:p>
        </w:tc>
        <w:tc>
          <w:tcPr>
            <w:tcW w:w="155" w:type="dxa"/>
            <w:tcBorders/>
            <w:vAlign w:val="center"/>
          </w:tcPr>
          <w:p>
            <w:pPr>
              <w:pStyle w:val="TableContents"/>
              <w:bidi w:val="0"/>
              <w:spacing w:before="0" w:after="0"/>
              <w:jc w:val="left"/>
              <w:rPr>
                <w:b/>
                <w:spacing w:val="0"/>
              </w:rPr>
            </w:pPr>
            <w:r>
              <w:rPr>
                <w:b/>
                <w:spacing w:val="0"/>
              </w:rPr>
              <w:t>) </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0"/>
              <w:jc w:val="left"/>
              <w:rPr>
                <w:spacing w:val="0"/>
              </w:rPr>
            </w:pPr>
            <w:r>
              <w:rPr>
                <w:spacing w:val="0"/>
              </w:rPr>
              <w:t> </w:t>
            </w:r>
          </w:p>
        </w:tc>
        <w:tc>
          <w:tcPr>
            <w:tcW w:w="1149" w:type="dxa"/>
            <w:tcBorders/>
            <w:vAlign w:val="center"/>
          </w:tcPr>
          <w:p>
            <w:pPr>
              <w:pStyle w:val="TableContents"/>
              <w:bidi w:val="0"/>
              <w:spacing w:before="0" w:after="0"/>
              <w:jc w:val="right"/>
              <w:rPr>
                <w:b/>
                <w:spacing w:val="0"/>
              </w:rPr>
            </w:pPr>
            <w:r>
              <w:rPr>
                <w:b/>
                <w:spacing w:val="0"/>
              </w:rPr>
              <w:t>(6,932</w:t>
            </w:r>
          </w:p>
        </w:tc>
        <w:tc>
          <w:tcPr>
            <w:tcW w:w="204" w:type="dxa"/>
            <w:tcBorders/>
            <w:vAlign w:val="center"/>
          </w:tcPr>
          <w:p>
            <w:pPr>
              <w:pStyle w:val="TableContents"/>
              <w:bidi w:val="0"/>
              <w:spacing w:before="0" w:after="0"/>
              <w:jc w:val="left"/>
              <w:rPr>
                <w:b/>
                <w:spacing w:val="0"/>
              </w:rPr>
            </w:pPr>
            <w:r>
              <w:rPr>
                <w:b/>
                <w:spacing w:val="0"/>
              </w:rPr>
              <w:t>) </w:t>
            </w:r>
          </w:p>
        </w:tc>
        <w:tc>
          <w:tcPr>
            <w:tcW w:w="79"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0"/>
              <w:jc w:val="left"/>
              <w:rPr>
                <w:spacing w:val="0"/>
              </w:rPr>
            </w:pPr>
            <w:r>
              <w:rPr>
                <w:spacing w:val="0"/>
              </w:rPr>
              <w:t> </w:t>
            </w:r>
          </w:p>
        </w:tc>
        <w:tc>
          <w:tcPr>
            <w:tcW w:w="1213" w:type="dxa"/>
            <w:tcBorders/>
            <w:vAlign w:val="center"/>
          </w:tcPr>
          <w:p>
            <w:pPr>
              <w:pStyle w:val="TableContents"/>
              <w:bidi w:val="0"/>
              <w:spacing w:before="0" w:after="0"/>
              <w:jc w:val="right"/>
              <w:rPr>
                <w:b/>
                <w:spacing w:val="0"/>
              </w:rPr>
            </w:pPr>
            <w:r>
              <w:rPr>
                <w:b/>
                <w:spacing w:val="0"/>
              </w:rPr>
              <w:t>(26,663</w:t>
            </w:r>
          </w:p>
        </w:tc>
        <w:tc>
          <w:tcPr>
            <w:tcW w:w="176" w:type="dxa"/>
            <w:tcBorders/>
            <w:vAlign w:val="center"/>
          </w:tcPr>
          <w:p>
            <w:pPr>
              <w:pStyle w:val="TableContents"/>
              <w:bidi w:val="0"/>
              <w:spacing w:before="0" w:after="0"/>
              <w:jc w:val="left"/>
              <w:rPr>
                <w:b/>
                <w:spacing w:val="0"/>
              </w:rPr>
            </w:pPr>
            <w:r>
              <w:rPr>
                <w:b/>
                <w:spacing w:val="0"/>
              </w:rPr>
              <w:t>) </w:t>
            </w:r>
          </w:p>
        </w:tc>
      </w:tr>
      <w:tr>
        <w:trPr/>
        <w:tc>
          <w:tcPr>
            <w:tcW w:w="340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5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71"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46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4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04"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1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6"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pacing w:val="0"/>
          <w:sz w:val="20"/>
        </w:rPr>
      </w:pPr>
      <w:r>
        <w:rPr>
          <w:rFonts w:ascii="Times New Roman" w:hAnsi="Times New Roman"/>
          <w:spacing w:val="0"/>
          <w:sz w:val="20"/>
        </w:rPr>
        <w:t xml:space="preserve">The accompanying notes form an integral part of these unaudited condensed consolidated financial statements.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NUCANA PLC </w:t>
      </w: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 xml:space="preserve">UNAUDITED CONDENSED CONSOLIDATED STATEMENTS OF FINANCIAL POSITION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AS AT </w:t>
      </w:r>
    </w:p>
    <w:p>
      <w:pPr>
        <w:pStyle w:val="TextBody"/>
        <w:bidi w:val="0"/>
        <w:spacing w:before="0" w:after="0"/>
        <w:jc w:val="left"/>
        <w:rPr>
          <w:spacing w:val="0"/>
        </w:rPr>
      </w:pPr>
      <w:r>
        <w:rPr>
          <w:spacing w:val="0"/>
        </w:rPr>
        <w:t> </w:t>
      </w:r>
    </w:p>
    <w:tbl>
      <w:tblPr>
        <w:tblW w:w="10198" w:type="dxa"/>
        <w:jc w:val="left"/>
        <w:tblInd w:w="0" w:type="dxa"/>
        <w:tblLayout w:type="fixed"/>
        <w:tblCellMar>
          <w:top w:w="0" w:type="dxa"/>
          <w:left w:w="0" w:type="dxa"/>
          <w:bottom w:w="0" w:type="dxa"/>
          <w:right w:w="0" w:type="dxa"/>
        </w:tblCellMar>
      </w:tblPr>
      <w:tblGrid>
        <w:gridCol w:w="4955"/>
        <w:gridCol w:w="120"/>
        <w:gridCol w:w="177"/>
        <w:gridCol w:w="413"/>
        <w:gridCol w:w="60"/>
        <w:gridCol w:w="120"/>
        <w:gridCol w:w="133"/>
        <w:gridCol w:w="1941"/>
        <w:gridCol w:w="155"/>
        <w:gridCol w:w="60"/>
        <w:gridCol w:w="120"/>
        <w:gridCol w:w="1774"/>
        <w:gridCol w:w="170"/>
      </w:tblGrid>
      <w:tr>
        <w:trPr/>
        <w:tc>
          <w:tcPr>
            <w:tcW w:w="49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9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9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74" w:type="dxa"/>
            <w:gridSpan w:val="2"/>
            <w:tcBorders/>
            <w:vAlign w:val="center"/>
          </w:tcPr>
          <w:p>
            <w:pPr>
              <w:pStyle w:val="TableContents"/>
              <w:bidi w:val="0"/>
              <w:spacing w:before="0" w:after="0"/>
              <w:jc w:val="center"/>
              <w:rPr>
                <w:spacing w:val="0"/>
              </w:rPr>
            </w:pPr>
            <w:r>
              <w:rPr>
                <w:spacing w:val="0"/>
              </w:rPr>
              <w:t>   </w:t>
            </w:r>
            <w:r>
              <w:rPr>
                <w:b/>
                <w:spacing w:val="0"/>
              </w:rPr>
              <w:t>June 30,   </w:t>
            </w:r>
          </w:p>
          <w:p>
            <w:pPr>
              <w:pStyle w:val="TableContents"/>
              <w:bidi w:val="0"/>
              <w:spacing w:before="0" w:after="0"/>
              <w:jc w:val="center"/>
              <w:rPr/>
            </w:pPr>
            <w:r>
              <w:rPr/>
            </w:r>
          </w:p>
          <w:p>
            <w:pPr>
              <w:pStyle w:val="TableContents"/>
              <w:bidi w:val="0"/>
              <w:spacing w:before="0" w:after="0"/>
              <w:jc w:val="center"/>
              <w:rPr>
                <w:b/>
                <w:spacing w:val="0"/>
              </w:rPr>
            </w:pPr>
            <w:r>
              <w:rPr>
                <w:b/>
                <w:spacing w:val="0"/>
              </w:rPr>
              <w:t>2026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4" w:type="dxa"/>
            <w:gridSpan w:val="2"/>
            <w:tcBorders/>
            <w:vAlign w:val="center"/>
          </w:tcPr>
          <w:p>
            <w:pPr>
              <w:pStyle w:val="TableContents"/>
              <w:bidi w:val="0"/>
              <w:spacing w:before="0" w:after="0"/>
              <w:jc w:val="center"/>
              <w:rPr>
                <w:spacing w:val="0"/>
              </w:rPr>
            </w:pPr>
            <w:r>
              <w:rPr>
                <w:spacing w:val="0"/>
              </w:rPr>
              <w:t> </w:t>
            </w:r>
            <w:r>
              <w:rPr>
                <w:b/>
                <w:spacing w:val="0"/>
              </w:rPr>
              <w:t>December 31, </w:t>
            </w:r>
          </w:p>
          <w:p>
            <w:pPr>
              <w:pStyle w:val="TableContents"/>
              <w:bidi w:val="0"/>
              <w:spacing w:before="0" w:after="0"/>
              <w:jc w:val="center"/>
              <w:rPr/>
            </w:pPr>
            <w:r>
              <w:rPr/>
            </w:r>
          </w:p>
          <w:p>
            <w:pPr>
              <w:pStyle w:val="TableContents"/>
              <w:bidi w:val="0"/>
              <w:spacing w:before="0" w:after="0"/>
              <w:jc w:val="center"/>
              <w:rPr>
                <w:b/>
                <w:spacing w:val="0"/>
              </w:rPr>
            </w:pPr>
            <w:r>
              <w:rPr>
                <w:b/>
                <w:spacing w:val="0"/>
              </w:rPr>
              <w:t>2025</w:t>
            </w:r>
          </w:p>
        </w:tc>
        <w:tc>
          <w:tcPr>
            <w:tcW w:w="170" w:type="dxa"/>
            <w:tcBorders/>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9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183" w:type="dxa"/>
            <w:gridSpan w:val="6"/>
            <w:tcBorders/>
            <w:vAlign w:val="center"/>
          </w:tcPr>
          <w:p>
            <w:pPr>
              <w:pStyle w:val="TableContents"/>
              <w:bidi w:val="0"/>
              <w:spacing w:before="0" w:after="0"/>
              <w:jc w:val="center"/>
              <w:rPr>
                <w:b/>
                <w:spacing w:val="0"/>
              </w:rPr>
            </w:pPr>
            <w:r>
              <w:rPr>
                <w:b/>
                <w:spacing w:val="0"/>
              </w:rPr>
              <w:t>(in thousands)</w:t>
            </w:r>
          </w:p>
        </w:tc>
        <w:tc>
          <w:tcPr>
            <w:tcW w:w="170" w:type="dxa"/>
            <w:tcBorders/>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90" w:type="dxa"/>
            <w:gridSpan w:val="2"/>
            <w:tcBorders/>
            <w:vAlign w:val="center"/>
          </w:tcPr>
          <w:p>
            <w:pPr>
              <w:pStyle w:val="TableContents"/>
              <w:bidi w:val="0"/>
              <w:spacing w:before="0" w:after="0"/>
              <w:jc w:val="center"/>
              <w:rPr>
                <w:b/>
                <w:spacing w:val="0"/>
              </w:rPr>
            </w:pPr>
            <w:r>
              <w:rPr>
                <w:b/>
                <w:spacing w:val="0"/>
              </w:rPr>
              <w:t>Notes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74" w:type="dxa"/>
            <w:gridSpan w:val="2"/>
            <w:tcBorders/>
            <w:vAlign w:val="center"/>
          </w:tcPr>
          <w:p>
            <w:pPr>
              <w:pStyle w:val="TableContents"/>
              <w:bidi w:val="0"/>
              <w:spacing w:before="0" w:after="0"/>
              <w:jc w:val="center"/>
              <w:rPr>
                <w:b/>
                <w:spacing w:val="0"/>
              </w:rPr>
            </w:pPr>
            <w:r>
              <w:rPr>
                <w:b/>
                <w:spacing w:val="0"/>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4" w:type="dxa"/>
            <w:gridSpan w:val="2"/>
            <w:tcBorders/>
            <w:vAlign w:val="center"/>
          </w:tcPr>
          <w:p>
            <w:pPr>
              <w:pStyle w:val="TableContents"/>
              <w:bidi w:val="0"/>
              <w:spacing w:before="0" w:after="0"/>
              <w:jc w:val="center"/>
              <w:rPr>
                <w:b/>
                <w:spacing w:val="0"/>
              </w:rPr>
            </w:pPr>
            <w:r>
              <w:rPr>
                <w:b/>
                <w:spacing w:val="0"/>
              </w:rPr>
              <w:t>£</w:t>
            </w:r>
          </w:p>
        </w:tc>
        <w:tc>
          <w:tcPr>
            <w:tcW w:w="170"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Assets</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sz w:val="4"/>
                <w:szCs w:val="4"/>
              </w:rPr>
            </w:pPr>
            <w:r>
              <w:rPr>
                <w:sz w:val="4"/>
                <w:szCs w:val="4"/>
              </w:rPr>
            </w:r>
          </w:p>
        </w:tc>
        <w:tc>
          <w:tcPr>
            <w:tcW w:w="41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sz w:val="4"/>
                <w:szCs w:val="4"/>
              </w:rPr>
            </w:pPr>
            <w:r>
              <w:rPr>
                <w:sz w:val="4"/>
                <w:szCs w:val="4"/>
              </w:rPr>
            </w:r>
          </w:p>
        </w:tc>
        <w:tc>
          <w:tcPr>
            <w:tcW w:w="1941"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sz w:val="4"/>
                <w:szCs w:val="4"/>
              </w:rPr>
            </w:pPr>
            <w:r>
              <w:rPr>
                <w:sz w:val="4"/>
                <w:szCs w:val="4"/>
              </w:rPr>
            </w:r>
          </w:p>
        </w:tc>
        <w:tc>
          <w:tcPr>
            <w:tcW w:w="1774"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95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Non-current</w:t>
            </w:r>
          </w:p>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9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Intangible assets</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right"/>
              <w:rPr/>
            </w:pPr>
            <w:r>
              <w:rPr/>
              <w:t>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941" w:type="dxa"/>
            <w:tcBorders/>
            <w:shd w:fill="CCEEFF" w:val="clear"/>
            <w:vAlign w:val="center"/>
          </w:tcPr>
          <w:p>
            <w:pPr>
              <w:pStyle w:val="TableContents"/>
              <w:bidi w:val="0"/>
              <w:spacing w:before="0" w:after="283"/>
              <w:jc w:val="right"/>
              <w:rPr/>
            </w:pPr>
            <w:r>
              <w:rPr/>
              <w:t>2,206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74" w:type="dxa"/>
            <w:tcBorders/>
            <w:shd w:fill="CCEEFF" w:val="clear"/>
            <w:vAlign w:val="center"/>
          </w:tcPr>
          <w:p>
            <w:pPr>
              <w:pStyle w:val="TableContents"/>
              <w:bidi w:val="0"/>
              <w:spacing w:before="0" w:after="283"/>
              <w:jc w:val="right"/>
              <w:rPr/>
            </w:pPr>
            <w:r>
              <w:rPr/>
              <w:t>2,198</w:t>
            </w:r>
          </w:p>
        </w:tc>
        <w:tc>
          <w:tcPr>
            <w:tcW w:w="170" w:type="dxa"/>
            <w:tcBorders/>
            <w:shd w:fill="CCEEFF" w:val="clear"/>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Property, plant and equipment</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941" w:type="dxa"/>
            <w:tcBorders/>
            <w:vAlign w:val="center"/>
          </w:tcPr>
          <w:p>
            <w:pPr>
              <w:pStyle w:val="TableContents"/>
              <w:bidi w:val="0"/>
              <w:spacing w:before="0" w:after="283"/>
              <w:jc w:val="right"/>
              <w:rPr/>
            </w:pPr>
            <w:r>
              <w:rPr/>
              <w:t>622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74" w:type="dxa"/>
            <w:tcBorders/>
            <w:vAlign w:val="center"/>
          </w:tcPr>
          <w:p>
            <w:pPr>
              <w:pStyle w:val="TableContents"/>
              <w:bidi w:val="0"/>
              <w:spacing w:before="0" w:after="283"/>
              <w:jc w:val="right"/>
              <w:rPr/>
            </w:pPr>
            <w:r>
              <w:rPr/>
              <w:t>658</w:t>
            </w:r>
          </w:p>
        </w:tc>
        <w:tc>
          <w:tcPr>
            <w:tcW w:w="170"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Deferred tax asset</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right"/>
              <w:rPr/>
            </w:pPr>
            <w:r>
              <w:rPr/>
              <w:t>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941" w:type="dxa"/>
            <w:tcBorders/>
            <w:shd w:fill="CCEEFF" w:val="clear"/>
            <w:vAlign w:val="center"/>
          </w:tcPr>
          <w:p>
            <w:pPr>
              <w:pStyle w:val="TableContents"/>
              <w:bidi w:val="0"/>
              <w:spacing w:before="0" w:after="283"/>
              <w:jc w:val="right"/>
              <w:rPr/>
            </w:pPr>
            <w:r>
              <w:rPr/>
              <w:t>125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74" w:type="dxa"/>
            <w:tcBorders/>
            <w:shd w:fill="CCEEFF" w:val="clear"/>
            <w:vAlign w:val="center"/>
          </w:tcPr>
          <w:p>
            <w:pPr>
              <w:pStyle w:val="TableContents"/>
              <w:bidi w:val="0"/>
              <w:spacing w:before="0" w:after="283"/>
              <w:jc w:val="right"/>
              <w:rPr/>
            </w:pPr>
            <w:r>
              <w:rPr/>
              <w:t>117</w:t>
            </w:r>
          </w:p>
        </w:tc>
        <w:tc>
          <w:tcPr>
            <w:tcW w:w="170" w:type="dxa"/>
            <w:tcBorders/>
            <w:shd w:fill="CCEEFF" w:val="clear"/>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94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0"/>
              <w:jc w:val="left"/>
              <w:rPr>
                <w:spacing w:val="0"/>
              </w:rPr>
            </w:pPr>
            <w:r>
              <w:rPr>
                <w:spacing w:val="0"/>
              </w:rPr>
              <w:t> </w:t>
            </w:r>
          </w:p>
        </w:tc>
        <w:tc>
          <w:tcPr>
            <w:tcW w:w="1941" w:type="dxa"/>
            <w:tcBorders/>
            <w:vAlign w:val="center"/>
          </w:tcPr>
          <w:p>
            <w:pPr>
              <w:pStyle w:val="TableContents"/>
              <w:bidi w:val="0"/>
              <w:spacing w:before="0" w:after="0"/>
              <w:jc w:val="right"/>
              <w:rPr>
                <w:b/>
                <w:spacing w:val="0"/>
              </w:rPr>
            </w:pPr>
            <w:r>
              <w:rPr>
                <w:b/>
                <w:spacing w:val="0"/>
              </w:rPr>
              <w:t>2,953</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1774" w:type="dxa"/>
            <w:tcBorders/>
            <w:vAlign w:val="center"/>
          </w:tcPr>
          <w:p>
            <w:pPr>
              <w:pStyle w:val="TableContents"/>
              <w:bidi w:val="0"/>
              <w:spacing w:before="0" w:after="0"/>
              <w:jc w:val="right"/>
              <w:rPr>
                <w:b/>
                <w:spacing w:val="0"/>
              </w:rPr>
            </w:pPr>
            <w:r>
              <w:rPr>
                <w:b/>
                <w:spacing w:val="0"/>
              </w:rPr>
              <w:t>2,973</w:t>
            </w:r>
          </w:p>
        </w:tc>
        <w:tc>
          <w:tcPr>
            <w:tcW w:w="170" w:type="dxa"/>
            <w:tcBorders/>
            <w:vAlign w:val="center"/>
          </w:tcPr>
          <w:p>
            <w:pPr>
              <w:pStyle w:val="TableContents"/>
              <w:bidi w:val="0"/>
              <w:spacing w:before="0" w:after="0"/>
              <w:jc w:val="left"/>
              <w:rPr>
                <w:spacing w:val="0"/>
              </w:rPr>
            </w:pPr>
            <w:r>
              <w:rPr>
                <w:spacing w:val="0"/>
              </w:rPr>
              <w:t> </w:t>
            </w:r>
          </w:p>
        </w:tc>
      </w:tr>
      <w:tr>
        <w:trPr/>
        <w:tc>
          <w:tcPr>
            <w:tcW w:w="49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94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Current assets</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sz w:val="4"/>
                <w:szCs w:val="4"/>
              </w:rPr>
            </w:pPr>
            <w:r>
              <w:rPr>
                <w:sz w:val="4"/>
                <w:szCs w:val="4"/>
              </w:rPr>
            </w:r>
          </w:p>
        </w:tc>
        <w:tc>
          <w:tcPr>
            <w:tcW w:w="41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sz w:val="4"/>
                <w:szCs w:val="4"/>
              </w:rPr>
            </w:pPr>
            <w:r>
              <w:rPr>
                <w:sz w:val="4"/>
                <w:szCs w:val="4"/>
              </w:rPr>
            </w:r>
          </w:p>
        </w:tc>
        <w:tc>
          <w:tcPr>
            <w:tcW w:w="1941"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sz w:val="4"/>
                <w:szCs w:val="4"/>
              </w:rPr>
            </w:pPr>
            <w:r>
              <w:rPr>
                <w:sz w:val="4"/>
                <w:szCs w:val="4"/>
              </w:rPr>
            </w:r>
          </w:p>
        </w:tc>
        <w:tc>
          <w:tcPr>
            <w:tcW w:w="1774"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9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Prepayments, accrued income and other receivables</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941" w:type="dxa"/>
            <w:tcBorders/>
            <w:vAlign w:val="center"/>
          </w:tcPr>
          <w:p>
            <w:pPr>
              <w:pStyle w:val="TableContents"/>
              <w:bidi w:val="0"/>
              <w:spacing w:before="0" w:after="283"/>
              <w:jc w:val="right"/>
              <w:rPr/>
            </w:pPr>
            <w:r>
              <w:rPr/>
              <w:t>829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74" w:type="dxa"/>
            <w:tcBorders/>
            <w:vAlign w:val="center"/>
          </w:tcPr>
          <w:p>
            <w:pPr>
              <w:pStyle w:val="TableContents"/>
              <w:bidi w:val="0"/>
              <w:spacing w:before="0" w:after="283"/>
              <w:jc w:val="right"/>
              <w:rPr/>
            </w:pPr>
            <w:r>
              <w:rPr/>
              <w:t>849</w:t>
            </w:r>
          </w:p>
        </w:tc>
        <w:tc>
          <w:tcPr>
            <w:tcW w:w="170"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Current income tax receivable</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right"/>
              <w:rPr/>
            </w:pPr>
            <w:r>
              <w:rPr/>
              <w:t>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941" w:type="dxa"/>
            <w:tcBorders/>
            <w:shd w:fill="CCEEFF" w:val="clear"/>
            <w:vAlign w:val="center"/>
          </w:tcPr>
          <w:p>
            <w:pPr>
              <w:pStyle w:val="TableContents"/>
              <w:bidi w:val="0"/>
              <w:spacing w:before="0" w:after="283"/>
              <w:jc w:val="right"/>
              <w:rPr/>
            </w:pPr>
            <w:r>
              <w:rPr/>
              <w:t>2,498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74" w:type="dxa"/>
            <w:tcBorders/>
            <w:shd w:fill="CCEEFF" w:val="clear"/>
            <w:vAlign w:val="center"/>
          </w:tcPr>
          <w:p>
            <w:pPr>
              <w:pStyle w:val="TableContents"/>
              <w:bidi w:val="0"/>
              <w:spacing w:before="0" w:after="283"/>
              <w:jc w:val="right"/>
              <w:rPr/>
            </w:pPr>
            <w:r>
              <w:rPr/>
              <w:t>1,761</w:t>
            </w:r>
          </w:p>
        </w:tc>
        <w:tc>
          <w:tcPr>
            <w:tcW w:w="170" w:type="dxa"/>
            <w:tcBorders/>
            <w:shd w:fill="CCEEFF" w:val="clear"/>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and cash equivalents</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right"/>
              <w:rPr/>
            </w:pPr>
            <w:r>
              <w:rPr/>
              <w:t>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941" w:type="dxa"/>
            <w:tcBorders/>
            <w:vAlign w:val="center"/>
          </w:tcPr>
          <w:p>
            <w:pPr>
              <w:pStyle w:val="TableContents"/>
              <w:bidi w:val="0"/>
              <w:spacing w:before="0" w:after="283"/>
              <w:jc w:val="right"/>
              <w:rPr/>
            </w:pPr>
            <w:r>
              <w:rPr/>
              <w:t>19,503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74" w:type="dxa"/>
            <w:tcBorders/>
            <w:vAlign w:val="center"/>
          </w:tcPr>
          <w:p>
            <w:pPr>
              <w:pStyle w:val="TableContents"/>
              <w:bidi w:val="0"/>
              <w:spacing w:before="0" w:after="283"/>
              <w:jc w:val="right"/>
              <w:rPr/>
            </w:pPr>
            <w:r>
              <w:rPr/>
              <w:t>24,251</w:t>
            </w:r>
          </w:p>
        </w:tc>
        <w:tc>
          <w:tcPr>
            <w:tcW w:w="170" w:type="dxa"/>
            <w:tcBorders/>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94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sz w:val="4"/>
                <w:szCs w:val="4"/>
              </w:rPr>
            </w:pPr>
            <w:r>
              <w:rPr>
                <w:sz w:val="4"/>
                <w:szCs w:val="4"/>
              </w:rPr>
            </w:r>
          </w:p>
        </w:tc>
        <w:tc>
          <w:tcPr>
            <w:tcW w:w="41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0"/>
              <w:jc w:val="left"/>
              <w:rPr>
                <w:spacing w:val="0"/>
              </w:rPr>
            </w:pPr>
            <w:r>
              <w:rPr>
                <w:spacing w:val="0"/>
              </w:rPr>
              <w:t> </w:t>
            </w:r>
          </w:p>
        </w:tc>
        <w:tc>
          <w:tcPr>
            <w:tcW w:w="1941" w:type="dxa"/>
            <w:tcBorders/>
            <w:shd w:fill="CCEEFF" w:val="clear"/>
            <w:vAlign w:val="center"/>
          </w:tcPr>
          <w:p>
            <w:pPr>
              <w:pStyle w:val="TableContents"/>
              <w:bidi w:val="0"/>
              <w:spacing w:before="0" w:after="0"/>
              <w:jc w:val="right"/>
              <w:rPr>
                <w:b/>
                <w:spacing w:val="0"/>
              </w:rPr>
            </w:pPr>
            <w:r>
              <w:rPr>
                <w:b/>
                <w:spacing w:val="0"/>
              </w:rPr>
              <w:t>22,830</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774" w:type="dxa"/>
            <w:tcBorders/>
            <w:shd w:fill="CCEEFF" w:val="clear"/>
            <w:vAlign w:val="center"/>
          </w:tcPr>
          <w:p>
            <w:pPr>
              <w:pStyle w:val="TableContents"/>
              <w:bidi w:val="0"/>
              <w:spacing w:before="0" w:after="0"/>
              <w:jc w:val="right"/>
              <w:rPr>
                <w:b/>
                <w:spacing w:val="0"/>
              </w:rPr>
            </w:pPr>
            <w:r>
              <w:rPr>
                <w:b/>
                <w:spacing w:val="0"/>
              </w:rPr>
              <w:t>26,861</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49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94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Total assets</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0"/>
              <w:jc w:val="left"/>
              <w:rPr>
                <w:spacing w:val="0"/>
              </w:rPr>
            </w:pPr>
            <w:r>
              <w:rPr>
                <w:spacing w:val="0"/>
              </w:rPr>
              <w:t> </w:t>
            </w:r>
          </w:p>
        </w:tc>
        <w:tc>
          <w:tcPr>
            <w:tcW w:w="1941" w:type="dxa"/>
            <w:tcBorders/>
            <w:vAlign w:val="center"/>
          </w:tcPr>
          <w:p>
            <w:pPr>
              <w:pStyle w:val="TableContents"/>
              <w:bidi w:val="0"/>
              <w:spacing w:before="0" w:after="0"/>
              <w:jc w:val="right"/>
              <w:rPr>
                <w:b/>
                <w:spacing w:val="0"/>
              </w:rPr>
            </w:pPr>
            <w:r>
              <w:rPr>
                <w:b/>
                <w:spacing w:val="0"/>
              </w:rPr>
              <w:t>25,783</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1774" w:type="dxa"/>
            <w:tcBorders/>
            <w:vAlign w:val="center"/>
          </w:tcPr>
          <w:p>
            <w:pPr>
              <w:pStyle w:val="TableContents"/>
              <w:bidi w:val="0"/>
              <w:spacing w:before="0" w:after="0"/>
              <w:jc w:val="right"/>
              <w:rPr>
                <w:b/>
                <w:spacing w:val="0"/>
              </w:rPr>
            </w:pPr>
            <w:r>
              <w:rPr>
                <w:b/>
                <w:spacing w:val="0"/>
              </w:rPr>
              <w:t>29,834</w:t>
            </w:r>
          </w:p>
        </w:tc>
        <w:tc>
          <w:tcPr>
            <w:tcW w:w="170" w:type="dxa"/>
            <w:tcBorders/>
            <w:vAlign w:val="center"/>
          </w:tcPr>
          <w:p>
            <w:pPr>
              <w:pStyle w:val="TableContents"/>
              <w:bidi w:val="0"/>
              <w:spacing w:before="0" w:after="0"/>
              <w:jc w:val="left"/>
              <w:rPr>
                <w:spacing w:val="0"/>
              </w:rPr>
            </w:pPr>
            <w:r>
              <w:rPr>
                <w:spacing w:val="0"/>
              </w:rPr>
              <w:t> </w:t>
            </w:r>
          </w:p>
        </w:tc>
      </w:tr>
      <w:tr>
        <w:trPr/>
        <w:tc>
          <w:tcPr>
            <w:tcW w:w="49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94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7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Equity and liabilities</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sz w:val="4"/>
                <w:szCs w:val="4"/>
              </w:rPr>
            </w:pPr>
            <w:r>
              <w:rPr>
                <w:sz w:val="4"/>
                <w:szCs w:val="4"/>
              </w:rPr>
            </w:r>
          </w:p>
        </w:tc>
        <w:tc>
          <w:tcPr>
            <w:tcW w:w="41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sz w:val="4"/>
                <w:szCs w:val="4"/>
              </w:rPr>
            </w:pPr>
            <w:r>
              <w:rPr>
                <w:sz w:val="4"/>
                <w:szCs w:val="4"/>
              </w:rPr>
            </w:r>
          </w:p>
        </w:tc>
        <w:tc>
          <w:tcPr>
            <w:tcW w:w="1941"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sz w:val="4"/>
                <w:szCs w:val="4"/>
              </w:rPr>
            </w:pPr>
            <w:r>
              <w:rPr>
                <w:sz w:val="4"/>
                <w:szCs w:val="4"/>
              </w:rPr>
            </w:r>
          </w:p>
        </w:tc>
        <w:tc>
          <w:tcPr>
            <w:tcW w:w="1774"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95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Capital and reserves</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9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Share capital and share premium</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right"/>
              <w:rPr/>
            </w:pPr>
            <w:r>
              <w:rPr/>
              <w:t>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941" w:type="dxa"/>
            <w:tcBorders/>
            <w:shd w:fill="CCEEFF" w:val="clear"/>
            <w:vAlign w:val="center"/>
          </w:tcPr>
          <w:p>
            <w:pPr>
              <w:pStyle w:val="TableContents"/>
              <w:bidi w:val="0"/>
              <w:spacing w:before="0" w:after="283"/>
              <w:jc w:val="right"/>
              <w:rPr/>
            </w:pPr>
            <w:r>
              <w:rPr/>
              <w:t>189,657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74" w:type="dxa"/>
            <w:tcBorders/>
            <w:shd w:fill="CCEEFF" w:val="clear"/>
            <w:vAlign w:val="center"/>
          </w:tcPr>
          <w:p>
            <w:pPr>
              <w:pStyle w:val="TableContents"/>
              <w:bidi w:val="0"/>
              <w:spacing w:before="0" w:after="283"/>
              <w:jc w:val="right"/>
              <w:rPr/>
            </w:pPr>
            <w:r>
              <w:rPr/>
              <w:t>189,586</w:t>
            </w:r>
          </w:p>
        </w:tc>
        <w:tc>
          <w:tcPr>
            <w:tcW w:w="170" w:type="dxa"/>
            <w:tcBorders/>
            <w:shd w:fill="CCEEFF" w:val="clear"/>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reserves</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941" w:type="dxa"/>
            <w:tcBorders/>
            <w:vAlign w:val="center"/>
          </w:tcPr>
          <w:p>
            <w:pPr>
              <w:pStyle w:val="TableContents"/>
              <w:bidi w:val="0"/>
              <w:spacing w:before="0" w:after="283"/>
              <w:jc w:val="right"/>
              <w:rPr/>
            </w:pPr>
            <w:r>
              <w:rPr/>
              <w:t>84,352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74" w:type="dxa"/>
            <w:tcBorders/>
            <w:vAlign w:val="center"/>
          </w:tcPr>
          <w:p>
            <w:pPr>
              <w:pStyle w:val="TableContents"/>
              <w:bidi w:val="0"/>
              <w:spacing w:before="0" w:after="283"/>
              <w:jc w:val="right"/>
              <w:rPr/>
            </w:pPr>
            <w:r>
              <w:rPr/>
              <w:t>87,075</w:t>
            </w:r>
          </w:p>
        </w:tc>
        <w:tc>
          <w:tcPr>
            <w:tcW w:w="170"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Accumulated deficit</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sz w:val="4"/>
                <w:szCs w:val="4"/>
              </w:rPr>
            </w:pPr>
            <w:r>
              <w:rPr>
                <w:sz w:val="4"/>
                <w:szCs w:val="4"/>
              </w:rPr>
            </w:r>
          </w:p>
        </w:tc>
        <w:tc>
          <w:tcPr>
            <w:tcW w:w="41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941" w:type="dxa"/>
            <w:tcBorders/>
            <w:shd w:fill="CCEEFF" w:val="clear"/>
            <w:vAlign w:val="center"/>
          </w:tcPr>
          <w:p>
            <w:pPr>
              <w:pStyle w:val="TableContents"/>
              <w:bidi w:val="0"/>
              <w:spacing w:before="0" w:after="283"/>
              <w:jc w:val="right"/>
              <w:rPr/>
            </w:pPr>
            <w:r>
              <w:rPr/>
              <w:t>(253,749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74" w:type="dxa"/>
            <w:tcBorders/>
            <w:shd w:fill="CCEEFF" w:val="clear"/>
            <w:vAlign w:val="center"/>
          </w:tcPr>
          <w:p>
            <w:pPr>
              <w:pStyle w:val="TableContents"/>
              <w:bidi w:val="0"/>
              <w:spacing w:before="0" w:after="283"/>
              <w:jc w:val="right"/>
              <w:rPr/>
            </w:pPr>
            <w:r>
              <w:rPr/>
              <w:t>(252,334</w:t>
            </w:r>
          </w:p>
        </w:tc>
        <w:tc>
          <w:tcPr>
            <w:tcW w:w="170" w:type="dxa"/>
            <w:tcBorders/>
            <w:shd w:fill="CCEEFF" w:val="clear"/>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94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Total equity attributable to equity holders of the Company</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0"/>
              <w:jc w:val="left"/>
              <w:rPr>
                <w:spacing w:val="0"/>
              </w:rPr>
            </w:pPr>
            <w:r>
              <w:rPr>
                <w:spacing w:val="0"/>
              </w:rPr>
              <w:t> </w:t>
            </w:r>
          </w:p>
        </w:tc>
        <w:tc>
          <w:tcPr>
            <w:tcW w:w="1941" w:type="dxa"/>
            <w:tcBorders/>
            <w:vAlign w:val="center"/>
          </w:tcPr>
          <w:p>
            <w:pPr>
              <w:pStyle w:val="TableContents"/>
              <w:bidi w:val="0"/>
              <w:spacing w:before="0" w:after="0"/>
              <w:jc w:val="right"/>
              <w:rPr>
                <w:b/>
                <w:spacing w:val="0"/>
              </w:rPr>
            </w:pPr>
            <w:r>
              <w:rPr>
                <w:b/>
                <w:spacing w:val="0"/>
              </w:rPr>
              <w:t>20,260</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1774" w:type="dxa"/>
            <w:tcBorders/>
            <w:vAlign w:val="center"/>
          </w:tcPr>
          <w:p>
            <w:pPr>
              <w:pStyle w:val="TableContents"/>
              <w:bidi w:val="0"/>
              <w:spacing w:before="0" w:after="0"/>
              <w:jc w:val="right"/>
              <w:rPr>
                <w:b/>
                <w:spacing w:val="0"/>
              </w:rPr>
            </w:pPr>
            <w:r>
              <w:rPr>
                <w:b/>
                <w:spacing w:val="0"/>
              </w:rPr>
              <w:t>24,327</w:t>
            </w:r>
          </w:p>
        </w:tc>
        <w:tc>
          <w:tcPr>
            <w:tcW w:w="170" w:type="dxa"/>
            <w:tcBorders/>
            <w:vAlign w:val="center"/>
          </w:tcPr>
          <w:p>
            <w:pPr>
              <w:pStyle w:val="TableContents"/>
              <w:bidi w:val="0"/>
              <w:spacing w:before="0" w:after="0"/>
              <w:jc w:val="left"/>
              <w:rPr>
                <w:spacing w:val="0"/>
              </w:rPr>
            </w:pPr>
            <w:r>
              <w:rPr>
                <w:spacing w:val="0"/>
              </w:rPr>
              <w:t> </w:t>
            </w:r>
          </w:p>
        </w:tc>
      </w:tr>
      <w:tr>
        <w:trPr/>
        <w:tc>
          <w:tcPr>
            <w:tcW w:w="49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94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Non-current</w:t>
            </w:r>
          </w:p>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sz w:val="4"/>
                <w:szCs w:val="4"/>
              </w:rPr>
            </w:pPr>
            <w:r>
              <w:rPr>
                <w:sz w:val="4"/>
                <w:szCs w:val="4"/>
              </w:rPr>
            </w:r>
          </w:p>
        </w:tc>
        <w:tc>
          <w:tcPr>
            <w:tcW w:w="41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sz w:val="4"/>
                <w:szCs w:val="4"/>
              </w:rPr>
            </w:pPr>
            <w:r>
              <w:rPr>
                <w:sz w:val="4"/>
                <w:szCs w:val="4"/>
              </w:rPr>
            </w:r>
          </w:p>
        </w:tc>
        <w:tc>
          <w:tcPr>
            <w:tcW w:w="1941"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sz w:val="4"/>
                <w:szCs w:val="4"/>
              </w:rPr>
            </w:pPr>
            <w:r>
              <w:rPr>
                <w:sz w:val="4"/>
                <w:szCs w:val="4"/>
              </w:rPr>
            </w:r>
          </w:p>
        </w:tc>
        <w:tc>
          <w:tcPr>
            <w:tcW w:w="1774"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9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Provisions</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941" w:type="dxa"/>
            <w:tcBorders/>
            <w:vAlign w:val="center"/>
          </w:tcPr>
          <w:p>
            <w:pPr>
              <w:pStyle w:val="TableContents"/>
              <w:bidi w:val="0"/>
              <w:spacing w:before="0" w:after="283"/>
              <w:jc w:val="right"/>
              <w:rPr/>
            </w:pPr>
            <w:r>
              <w:rPr/>
              <w:t>58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74" w:type="dxa"/>
            <w:tcBorders/>
            <w:vAlign w:val="center"/>
          </w:tcPr>
          <w:p>
            <w:pPr>
              <w:pStyle w:val="TableContents"/>
              <w:bidi w:val="0"/>
              <w:spacing w:before="0" w:after="283"/>
              <w:jc w:val="right"/>
              <w:rPr/>
            </w:pPr>
            <w:r>
              <w:rPr/>
              <w:t>58</w:t>
            </w:r>
          </w:p>
        </w:tc>
        <w:tc>
          <w:tcPr>
            <w:tcW w:w="170"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Lease liabilities</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sz w:val="4"/>
                <w:szCs w:val="4"/>
              </w:rPr>
            </w:pPr>
            <w:r>
              <w:rPr>
                <w:sz w:val="4"/>
                <w:szCs w:val="4"/>
              </w:rPr>
            </w:r>
          </w:p>
        </w:tc>
        <w:tc>
          <w:tcPr>
            <w:tcW w:w="41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941" w:type="dxa"/>
            <w:tcBorders/>
            <w:shd w:fill="CCEEFF" w:val="clear"/>
            <w:vAlign w:val="center"/>
          </w:tcPr>
          <w:p>
            <w:pPr>
              <w:pStyle w:val="TableContents"/>
              <w:bidi w:val="0"/>
              <w:spacing w:before="0" w:after="283"/>
              <w:jc w:val="right"/>
              <w:rPr/>
            </w:pPr>
            <w:r>
              <w:rPr/>
              <w:t>637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74" w:type="dxa"/>
            <w:tcBorders/>
            <w:shd w:fill="CCEEFF" w:val="clear"/>
            <w:vAlign w:val="center"/>
          </w:tcPr>
          <w:p>
            <w:pPr>
              <w:pStyle w:val="TableContents"/>
              <w:bidi w:val="0"/>
              <w:spacing w:before="0" w:after="283"/>
              <w:jc w:val="right"/>
              <w:rPr/>
            </w:pPr>
            <w:r>
              <w:rPr/>
              <w:t>656</w:t>
            </w:r>
          </w:p>
        </w:tc>
        <w:tc>
          <w:tcPr>
            <w:tcW w:w="170" w:type="dxa"/>
            <w:tcBorders/>
            <w:shd w:fill="CCEEFF" w:val="clear"/>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94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0"/>
              <w:jc w:val="left"/>
              <w:rPr>
                <w:spacing w:val="0"/>
              </w:rPr>
            </w:pPr>
            <w:r>
              <w:rPr>
                <w:spacing w:val="0"/>
              </w:rPr>
              <w:t> </w:t>
            </w:r>
          </w:p>
        </w:tc>
        <w:tc>
          <w:tcPr>
            <w:tcW w:w="1941" w:type="dxa"/>
            <w:tcBorders/>
            <w:vAlign w:val="center"/>
          </w:tcPr>
          <w:p>
            <w:pPr>
              <w:pStyle w:val="TableContents"/>
              <w:bidi w:val="0"/>
              <w:spacing w:before="0" w:after="0"/>
              <w:jc w:val="right"/>
              <w:rPr>
                <w:b/>
                <w:spacing w:val="0"/>
              </w:rPr>
            </w:pPr>
            <w:r>
              <w:rPr>
                <w:b/>
                <w:spacing w:val="0"/>
              </w:rPr>
              <w:t>695</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1774" w:type="dxa"/>
            <w:tcBorders/>
            <w:vAlign w:val="center"/>
          </w:tcPr>
          <w:p>
            <w:pPr>
              <w:pStyle w:val="TableContents"/>
              <w:bidi w:val="0"/>
              <w:spacing w:before="0" w:after="0"/>
              <w:jc w:val="right"/>
              <w:rPr>
                <w:b/>
                <w:spacing w:val="0"/>
              </w:rPr>
            </w:pPr>
            <w:r>
              <w:rPr>
                <w:b/>
                <w:spacing w:val="0"/>
              </w:rPr>
              <w:t>714</w:t>
            </w:r>
          </w:p>
        </w:tc>
        <w:tc>
          <w:tcPr>
            <w:tcW w:w="170" w:type="dxa"/>
            <w:tcBorders/>
            <w:vAlign w:val="center"/>
          </w:tcPr>
          <w:p>
            <w:pPr>
              <w:pStyle w:val="TableContents"/>
              <w:bidi w:val="0"/>
              <w:spacing w:before="0" w:after="0"/>
              <w:jc w:val="left"/>
              <w:rPr>
                <w:spacing w:val="0"/>
              </w:rPr>
            </w:pPr>
            <w:r>
              <w:rPr>
                <w:spacing w:val="0"/>
              </w:rPr>
              <w:t> </w:t>
            </w:r>
          </w:p>
        </w:tc>
      </w:tr>
      <w:tr>
        <w:trPr/>
        <w:tc>
          <w:tcPr>
            <w:tcW w:w="49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94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Current liabilities</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sz w:val="4"/>
                <w:szCs w:val="4"/>
              </w:rPr>
            </w:pPr>
            <w:r>
              <w:rPr>
                <w:sz w:val="4"/>
                <w:szCs w:val="4"/>
              </w:rPr>
            </w:r>
          </w:p>
        </w:tc>
        <w:tc>
          <w:tcPr>
            <w:tcW w:w="41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sz w:val="4"/>
                <w:szCs w:val="4"/>
              </w:rPr>
            </w:pPr>
            <w:r>
              <w:rPr>
                <w:sz w:val="4"/>
                <w:szCs w:val="4"/>
              </w:rPr>
            </w:r>
          </w:p>
        </w:tc>
        <w:tc>
          <w:tcPr>
            <w:tcW w:w="1941"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sz w:val="4"/>
                <w:szCs w:val="4"/>
              </w:rPr>
            </w:pPr>
            <w:r>
              <w:rPr>
                <w:sz w:val="4"/>
                <w:szCs w:val="4"/>
              </w:rPr>
            </w:r>
          </w:p>
        </w:tc>
        <w:tc>
          <w:tcPr>
            <w:tcW w:w="1774"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9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Trade payables</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941" w:type="dxa"/>
            <w:tcBorders/>
            <w:vAlign w:val="center"/>
          </w:tcPr>
          <w:p>
            <w:pPr>
              <w:pStyle w:val="TableContents"/>
              <w:bidi w:val="0"/>
              <w:spacing w:before="0" w:after="283"/>
              <w:jc w:val="right"/>
              <w:rPr/>
            </w:pPr>
            <w:r>
              <w:rPr/>
              <w:t>450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74" w:type="dxa"/>
            <w:tcBorders/>
            <w:vAlign w:val="center"/>
          </w:tcPr>
          <w:p>
            <w:pPr>
              <w:pStyle w:val="TableContents"/>
              <w:bidi w:val="0"/>
              <w:spacing w:before="0" w:after="283"/>
              <w:jc w:val="right"/>
              <w:rPr/>
            </w:pPr>
            <w:r>
              <w:rPr/>
              <w:t>522</w:t>
            </w:r>
          </w:p>
        </w:tc>
        <w:tc>
          <w:tcPr>
            <w:tcW w:w="170"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Payroll taxes and social security</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sz w:val="4"/>
                <w:szCs w:val="4"/>
              </w:rPr>
            </w:pPr>
            <w:r>
              <w:rPr>
                <w:sz w:val="4"/>
                <w:szCs w:val="4"/>
              </w:rPr>
            </w:r>
          </w:p>
        </w:tc>
        <w:tc>
          <w:tcPr>
            <w:tcW w:w="41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941" w:type="dxa"/>
            <w:tcBorders/>
            <w:shd w:fill="CCEEFF" w:val="clear"/>
            <w:vAlign w:val="center"/>
          </w:tcPr>
          <w:p>
            <w:pPr>
              <w:pStyle w:val="TableContents"/>
              <w:bidi w:val="0"/>
              <w:spacing w:before="0" w:after="283"/>
              <w:jc w:val="right"/>
              <w:rPr/>
            </w:pPr>
            <w:r>
              <w:rPr/>
              <w:t>125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74" w:type="dxa"/>
            <w:tcBorders/>
            <w:shd w:fill="CCEEFF" w:val="clear"/>
            <w:vAlign w:val="center"/>
          </w:tcPr>
          <w:p>
            <w:pPr>
              <w:pStyle w:val="TableContents"/>
              <w:bidi w:val="0"/>
              <w:spacing w:before="0" w:after="283"/>
              <w:jc w:val="right"/>
              <w:rPr/>
            </w:pPr>
            <w:r>
              <w:rPr/>
              <w:t>99</w:t>
            </w:r>
          </w:p>
        </w:tc>
        <w:tc>
          <w:tcPr>
            <w:tcW w:w="170" w:type="dxa"/>
            <w:tcBorders/>
            <w:shd w:fill="CCEEFF" w:val="clear"/>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Accrued expenditure</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941" w:type="dxa"/>
            <w:tcBorders/>
            <w:vAlign w:val="center"/>
          </w:tcPr>
          <w:p>
            <w:pPr>
              <w:pStyle w:val="TableContents"/>
              <w:bidi w:val="0"/>
              <w:spacing w:before="0" w:after="283"/>
              <w:jc w:val="right"/>
              <w:rPr/>
            </w:pPr>
            <w:r>
              <w:rPr/>
              <w:t>4,218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74" w:type="dxa"/>
            <w:tcBorders/>
            <w:vAlign w:val="center"/>
          </w:tcPr>
          <w:p>
            <w:pPr>
              <w:pStyle w:val="TableContents"/>
              <w:bidi w:val="0"/>
              <w:spacing w:before="0" w:after="283"/>
              <w:jc w:val="right"/>
              <w:rPr/>
            </w:pPr>
            <w:r>
              <w:rPr/>
              <w:t>4,152</w:t>
            </w:r>
          </w:p>
        </w:tc>
        <w:tc>
          <w:tcPr>
            <w:tcW w:w="170"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Lease liabilities</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sz w:val="4"/>
                <w:szCs w:val="4"/>
              </w:rPr>
            </w:pPr>
            <w:r>
              <w:rPr>
                <w:sz w:val="4"/>
                <w:szCs w:val="4"/>
              </w:rPr>
            </w:r>
          </w:p>
        </w:tc>
        <w:tc>
          <w:tcPr>
            <w:tcW w:w="41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941" w:type="dxa"/>
            <w:tcBorders/>
            <w:shd w:fill="CCEEFF" w:val="clear"/>
            <w:vAlign w:val="center"/>
          </w:tcPr>
          <w:p>
            <w:pPr>
              <w:pStyle w:val="TableContents"/>
              <w:bidi w:val="0"/>
              <w:spacing w:before="0" w:after="283"/>
              <w:jc w:val="right"/>
              <w:rPr/>
            </w:pPr>
            <w:r>
              <w:rPr/>
              <w:t>35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74" w:type="dxa"/>
            <w:tcBorders/>
            <w:shd w:fill="CCEEFF" w:val="clear"/>
            <w:vAlign w:val="center"/>
          </w:tcPr>
          <w:p>
            <w:pPr>
              <w:pStyle w:val="TableContents"/>
              <w:bidi w:val="0"/>
              <w:spacing w:before="0" w:after="283"/>
              <w:jc w:val="right"/>
              <w:rPr/>
            </w:pPr>
            <w:r>
              <w:rPr/>
              <w:t>20</w:t>
            </w:r>
          </w:p>
        </w:tc>
        <w:tc>
          <w:tcPr>
            <w:tcW w:w="170" w:type="dxa"/>
            <w:tcBorders/>
            <w:shd w:fill="CCEEFF" w:val="clear"/>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94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0"/>
              <w:jc w:val="left"/>
              <w:rPr>
                <w:spacing w:val="0"/>
              </w:rPr>
            </w:pPr>
            <w:r>
              <w:rPr>
                <w:spacing w:val="0"/>
              </w:rPr>
              <w:t> </w:t>
            </w:r>
          </w:p>
        </w:tc>
        <w:tc>
          <w:tcPr>
            <w:tcW w:w="1941" w:type="dxa"/>
            <w:tcBorders/>
            <w:vAlign w:val="center"/>
          </w:tcPr>
          <w:p>
            <w:pPr>
              <w:pStyle w:val="TableContents"/>
              <w:bidi w:val="0"/>
              <w:spacing w:before="0" w:after="0"/>
              <w:jc w:val="right"/>
              <w:rPr>
                <w:b/>
                <w:spacing w:val="0"/>
              </w:rPr>
            </w:pPr>
            <w:r>
              <w:rPr>
                <w:b/>
                <w:spacing w:val="0"/>
              </w:rPr>
              <w:t>4,828</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1774" w:type="dxa"/>
            <w:tcBorders/>
            <w:vAlign w:val="center"/>
          </w:tcPr>
          <w:p>
            <w:pPr>
              <w:pStyle w:val="TableContents"/>
              <w:bidi w:val="0"/>
              <w:spacing w:before="0" w:after="0"/>
              <w:jc w:val="right"/>
              <w:rPr>
                <w:b/>
                <w:spacing w:val="0"/>
              </w:rPr>
            </w:pPr>
            <w:r>
              <w:rPr>
                <w:b/>
                <w:spacing w:val="0"/>
              </w:rPr>
              <w:t>4,793</w:t>
            </w:r>
          </w:p>
        </w:tc>
        <w:tc>
          <w:tcPr>
            <w:tcW w:w="170" w:type="dxa"/>
            <w:tcBorders/>
            <w:vAlign w:val="center"/>
          </w:tcPr>
          <w:p>
            <w:pPr>
              <w:pStyle w:val="TableContents"/>
              <w:bidi w:val="0"/>
              <w:spacing w:before="0" w:after="0"/>
              <w:jc w:val="left"/>
              <w:rPr>
                <w:spacing w:val="0"/>
              </w:rPr>
            </w:pPr>
            <w:r>
              <w:rPr>
                <w:spacing w:val="0"/>
              </w:rPr>
              <w:t> </w:t>
            </w:r>
          </w:p>
        </w:tc>
      </w:tr>
      <w:tr>
        <w:trPr/>
        <w:tc>
          <w:tcPr>
            <w:tcW w:w="495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Total liabilities</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sz w:val="4"/>
                <w:szCs w:val="4"/>
              </w:rPr>
            </w:pPr>
            <w:r>
              <w:rPr>
                <w:sz w:val="4"/>
                <w:szCs w:val="4"/>
              </w:rPr>
            </w:r>
          </w:p>
        </w:tc>
        <w:tc>
          <w:tcPr>
            <w:tcW w:w="41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0"/>
              <w:jc w:val="left"/>
              <w:rPr>
                <w:spacing w:val="0"/>
              </w:rPr>
            </w:pPr>
            <w:r>
              <w:rPr>
                <w:spacing w:val="0"/>
              </w:rPr>
              <w:t> </w:t>
            </w:r>
          </w:p>
        </w:tc>
        <w:tc>
          <w:tcPr>
            <w:tcW w:w="1941" w:type="dxa"/>
            <w:tcBorders/>
            <w:shd w:fill="CCEEFF" w:val="clear"/>
            <w:vAlign w:val="center"/>
          </w:tcPr>
          <w:p>
            <w:pPr>
              <w:pStyle w:val="TableContents"/>
              <w:bidi w:val="0"/>
              <w:spacing w:before="0" w:after="0"/>
              <w:jc w:val="right"/>
              <w:rPr>
                <w:b/>
                <w:spacing w:val="0"/>
              </w:rPr>
            </w:pPr>
            <w:r>
              <w:rPr>
                <w:b/>
                <w:spacing w:val="0"/>
              </w:rPr>
              <w:t>5,523</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774" w:type="dxa"/>
            <w:tcBorders/>
            <w:shd w:fill="CCEEFF" w:val="clear"/>
            <w:vAlign w:val="center"/>
          </w:tcPr>
          <w:p>
            <w:pPr>
              <w:pStyle w:val="TableContents"/>
              <w:bidi w:val="0"/>
              <w:spacing w:before="0" w:after="0"/>
              <w:jc w:val="right"/>
              <w:rPr>
                <w:b/>
                <w:spacing w:val="0"/>
              </w:rPr>
            </w:pPr>
            <w:r>
              <w:rPr>
                <w:b/>
                <w:spacing w:val="0"/>
              </w:rPr>
              <w:t>5,507</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49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94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Total equity and liabilities</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0"/>
              <w:jc w:val="left"/>
              <w:rPr>
                <w:spacing w:val="0"/>
              </w:rPr>
            </w:pPr>
            <w:r>
              <w:rPr>
                <w:spacing w:val="0"/>
              </w:rPr>
              <w:t> </w:t>
            </w:r>
          </w:p>
        </w:tc>
        <w:tc>
          <w:tcPr>
            <w:tcW w:w="1941" w:type="dxa"/>
            <w:tcBorders/>
            <w:vAlign w:val="center"/>
          </w:tcPr>
          <w:p>
            <w:pPr>
              <w:pStyle w:val="TableContents"/>
              <w:bidi w:val="0"/>
              <w:spacing w:before="0" w:after="0"/>
              <w:jc w:val="right"/>
              <w:rPr>
                <w:b/>
                <w:spacing w:val="0"/>
              </w:rPr>
            </w:pPr>
            <w:r>
              <w:rPr>
                <w:b/>
                <w:spacing w:val="0"/>
              </w:rPr>
              <w:t>25,783</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rPr>
            </w:pPr>
            <w:r>
              <w:rPr>
                <w:spacing w:val="0"/>
              </w:rPr>
              <w:t> </w:t>
            </w:r>
          </w:p>
        </w:tc>
        <w:tc>
          <w:tcPr>
            <w:tcW w:w="1774" w:type="dxa"/>
            <w:tcBorders/>
            <w:vAlign w:val="center"/>
          </w:tcPr>
          <w:p>
            <w:pPr>
              <w:pStyle w:val="TableContents"/>
              <w:bidi w:val="0"/>
              <w:spacing w:before="0" w:after="0"/>
              <w:jc w:val="right"/>
              <w:rPr>
                <w:b/>
                <w:spacing w:val="0"/>
              </w:rPr>
            </w:pPr>
            <w:r>
              <w:rPr>
                <w:b/>
                <w:spacing w:val="0"/>
              </w:rPr>
              <w:t>29,834</w:t>
            </w:r>
          </w:p>
        </w:tc>
        <w:tc>
          <w:tcPr>
            <w:tcW w:w="170" w:type="dxa"/>
            <w:tcBorders/>
            <w:vAlign w:val="center"/>
          </w:tcPr>
          <w:p>
            <w:pPr>
              <w:pStyle w:val="TableContents"/>
              <w:bidi w:val="0"/>
              <w:spacing w:before="0" w:after="0"/>
              <w:jc w:val="left"/>
              <w:rPr>
                <w:spacing w:val="0"/>
              </w:rPr>
            </w:pPr>
            <w:r>
              <w:rPr>
                <w:spacing w:val="0"/>
              </w:rPr>
              <w:t> </w:t>
            </w:r>
          </w:p>
        </w:tc>
      </w:tr>
      <w:tr>
        <w:trPr/>
        <w:tc>
          <w:tcPr>
            <w:tcW w:w="49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94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7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pacing w:val="0"/>
          <w:sz w:val="20"/>
        </w:rPr>
      </w:pPr>
      <w:r>
        <w:rPr>
          <w:rFonts w:ascii="Times New Roman" w:hAnsi="Times New Roman"/>
          <w:spacing w:val="0"/>
          <w:sz w:val="20"/>
        </w:rPr>
        <w:t xml:space="preserve">The accompanying notes form an integral part of these unaudited condensed consolidated financial statements.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NUCANA PLC </w:t>
      </w: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 xml:space="preserve">UNAUDITED CONDENSED CONSOLIDATED STATEMENTS OF CHANGES IN EQUITY </w:t>
      </w:r>
    </w:p>
    <w:p>
      <w:pPr>
        <w:pStyle w:val="TextBody"/>
        <w:bidi w:val="0"/>
        <w:spacing w:before="0" w:after="0"/>
        <w:jc w:val="left"/>
        <w:rPr>
          <w:spacing w:val="0"/>
        </w:rPr>
      </w:pPr>
      <w:r>
        <w:rPr>
          <w:spacing w:val="0"/>
        </w:rPr>
        <w:t> </w:t>
      </w:r>
    </w:p>
    <w:tbl>
      <w:tblPr>
        <w:tblW w:w="10485" w:type="dxa"/>
        <w:jc w:val="left"/>
        <w:tblInd w:w="0" w:type="dxa"/>
        <w:tblLayout w:type="fixed"/>
        <w:tblCellMar>
          <w:top w:w="0" w:type="dxa"/>
          <w:left w:w="0" w:type="dxa"/>
          <w:bottom w:w="0" w:type="dxa"/>
          <w:right w:w="0" w:type="dxa"/>
        </w:tblCellMar>
      </w:tblPr>
      <w:tblGrid>
        <w:gridCol w:w="1265"/>
        <w:gridCol w:w="60"/>
        <w:gridCol w:w="60"/>
        <w:gridCol w:w="680"/>
        <w:gridCol w:w="60"/>
        <w:gridCol w:w="60"/>
        <w:gridCol w:w="66"/>
        <w:gridCol w:w="884"/>
        <w:gridCol w:w="155"/>
        <w:gridCol w:w="60"/>
        <w:gridCol w:w="87"/>
        <w:gridCol w:w="668"/>
        <w:gridCol w:w="155"/>
        <w:gridCol w:w="60"/>
        <w:gridCol w:w="61"/>
        <w:gridCol w:w="694"/>
        <w:gridCol w:w="155"/>
        <w:gridCol w:w="60"/>
        <w:gridCol w:w="169"/>
        <w:gridCol w:w="946"/>
        <w:gridCol w:w="155"/>
        <w:gridCol w:w="60"/>
        <w:gridCol w:w="62"/>
        <w:gridCol w:w="708"/>
        <w:gridCol w:w="60"/>
        <w:gridCol w:w="60"/>
        <w:gridCol w:w="87"/>
        <w:gridCol w:w="1283"/>
        <w:gridCol w:w="155"/>
        <w:gridCol w:w="60"/>
        <w:gridCol w:w="89"/>
        <w:gridCol w:w="1131"/>
        <w:gridCol w:w="170"/>
      </w:tblGrid>
      <w:tr>
        <w:trPr/>
        <w:tc>
          <w:tcPr>
            <w:tcW w:w="1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90" w:type="dxa"/>
            <w:gridSpan w:val="30"/>
            <w:tcBorders/>
            <w:vAlign w:val="center"/>
          </w:tcPr>
          <w:p>
            <w:pPr>
              <w:pStyle w:val="TableContents"/>
              <w:bidi w:val="0"/>
              <w:spacing w:before="0" w:after="0"/>
              <w:jc w:val="center"/>
              <w:rPr>
                <w:b/>
                <w:spacing w:val="0"/>
              </w:rPr>
            </w:pPr>
            <w:r>
              <w:rPr>
                <w:b/>
                <w:spacing w:val="0"/>
              </w:rPr>
              <w:t>For the Six Months Ended June 30,</w:t>
            </w:r>
          </w:p>
        </w:tc>
        <w:tc>
          <w:tcPr>
            <w:tcW w:w="17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0"/>
              <w:jc w:val="center"/>
              <w:rPr>
                <w:b/>
                <w:spacing w:val="0"/>
              </w:rPr>
            </w:pPr>
            <w:r>
              <w:rPr>
                <w:b/>
                <w:spacing w:val="0"/>
              </w:rPr>
              <w:t>Share</w:t>
            </w:r>
          </w:p>
          <w:p>
            <w:pPr>
              <w:pStyle w:val="TableContents"/>
              <w:bidi w:val="0"/>
              <w:spacing w:before="0" w:after="0"/>
              <w:jc w:val="center"/>
              <w:rPr/>
            </w:pPr>
            <w:r>
              <w:rPr/>
            </w:r>
          </w:p>
          <w:p>
            <w:pPr>
              <w:pStyle w:val="TableContents"/>
              <w:bidi w:val="0"/>
              <w:spacing w:before="0" w:after="0"/>
              <w:jc w:val="center"/>
              <w:rPr>
                <w:spacing w:val="0"/>
              </w:rPr>
            </w:pPr>
            <w:r>
              <w:rPr>
                <w:spacing w:val="0"/>
              </w:rPr>
              <w:t>  </w:t>
            </w:r>
            <w:r>
              <w:rPr>
                <w:b/>
                <w:spacing w:val="0"/>
              </w:rPr>
              <w:t>capital  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0"/>
              <w:jc w:val="center"/>
              <w:rPr>
                <w:b/>
                <w:spacing w:val="0"/>
              </w:rPr>
            </w:pPr>
            <w:r>
              <w:rPr>
                <w:b/>
                <w:spacing w:val="0"/>
              </w:rPr>
              <w:t>Share</w:t>
            </w:r>
          </w:p>
          <w:p>
            <w:pPr>
              <w:pStyle w:val="TableContents"/>
              <w:bidi w:val="0"/>
              <w:spacing w:before="0" w:after="0"/>
              <w:jc w:val="center"/>
              <w:rPr/>
            </w:pPr>
            <w:r>
              <w:rPr/>
            </w:r>
          </w:p>
          <w:p>
            <w:pPr>
              <w:pStyle w:val="TableContents"/>
              <w:bidi w:val="0"/>
              <w:spacing w:before="0" w:after="0"/>
              <w:jc w:val="center"/>
              <w:rPr>
                <w:spacing w:val="0"/>
              </w:rPr>
            </w:pPr>
            <w:r>
              <w:rPr>
                <w:spacing w:val="0"/>
              </w:rPr>
              <w:t> </w:t>
            </w:r>
            <w:r>
              <w:rPr>
                <w:b/>
                <w:spacing w:val="0"/>
              </w:rPr>
              <w:t>premium 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0"/>
              <w:jc w:val="center"/>
              <w:rPr>
                <w:b/>
                <w:spacing w:val="0"/>
              </w:rPr>
            </w:pPr>
            <w:r>
              <w:rPr>
                <w:b/>
                <w:spacing w:val="0"/>
              </w:rPr>
              <w:t>Own</w:t>
            </w:r>
          </w:p>
          <w:p>
            <w:pPr>
              <w:pStyle w:val="TableContents"/>
              <w:bidi w:val="0"/>
              <w:spacing w:before="0" w:after="0"/>
              <w:jc w:val="center"/>
              <w:rPr/>
            </w:pPr>
            <w:r>
              <w:rPr/>
            </w:r>
          </w:p>
          <w:p>
            <w:pPr>
              <w:pStyle w:val="TableContents"/>
              <w:bidi w:val="0"/>
              <w:spacing w:before="0" w:after="0"/>
              <w:jc w:val="center"/>
              <w:rPr>
                <w:b/>
                <w:spacing w:val="0"/>
              </w:rPr>
            </w:pPr>
            <w:r>
              <w:rPr>
                <w:b/>
                <w:spacing w:val="0"/>
              </w:rPr>
              <w:t>share</w:t>
            </w:r>
          </w:p>
          <w:p>
            <w:pPr>
              <w:pStyle w:val="TableContents"/>
              <w:bidi w:val="0"/>
              <w:spacing w:before="0" w:after="0"/>
              <w:jc w:val="center"/>
              <w:rPr/>
            </w:pPr>
            <w:r>
              <w:rPr/>
            </w:r>
          </w:p>
          <w:p>
            <w:pPr>
              <w:pStyle w:val="TableContents"/>
              <w:bidi w:val="0"/>
              <w:spacing w:before="0" w:after="0"/>
              <w:jc w:val="center"/>
              <w:rPr>
                <w:spacing w:val="0"/>
              </w:rPr>
            </w:pPr>
            <w:r>
              <w:rPr>
                <w:spacing w:val="0"/>
              </w:rPr>
              <w:t>  </w:t>
            </w:r>
            <w:r>
              <w:rPr>
                <w:b/>
                <w:spacing w:val="0"/>
              </w:rPr>
              <w:t>reserve  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0"/>
              <w:jc w:val="center"/>
              <w:rPr>
                <w:b/>
                <w:spacing w:val="0"/>
              </w:rPr>
            </w:pPr>
            <w:r>
              <w:rPr>
                <w:b/>
                <w:spacing w:val="0"/>
              </w:rPr>
              <w:t>Share</w:t>
            </w:r>
          </w:p>
          <w:p>
            <w:pPr>
              <w:pStyle w:val="TableContents"/>
              <w:bidi w:val="0"/>
              <w:spacing w:before="0" w:after="0"/>
              <w:jc w:val="center"/>
              <w:rPr/>
            </w:pPr>
            <w:r>
              <w:rPr/>
            </w:r>
          </w:p>
          <w:p>
            <w:pPr>
              <w:pStyle w:val="TableContents"/>
              <w:bidi w:val="0"/>
              <w:spacing w:before="0" w:after="0"/>
              <w:jc w:val="center"/>
              <w:rPr>
                <w:b/>
                <w:spacing w:val="0"/>
              </w:rPr>
            </w:pPr>
            <w:r>
              <w:rPr>
                <w:b/>
                <w:spacing w:val="0"/>
              </w:rPr>
              <w:t>option</w:t>
            </w:r>
          </w:p>
          <w:p>
            <w:pPr>
              <w:pStyle w:val="TableContents"/>
              <w:bidi w:val="0"/>
              <w:spacing w:before="0" w:after="0"/>
              <w:jc w:val="center"/>
              <w:rPr/>
            </w:pPr>
            <w:r>
              <w:rPr/>
            </w:r>
          </w:p>
          <w:p>
            <w:pPr>
              <w:pStyle w:val="TableContents"/>
              <w:bidi w:val="0"/>
              <w:spacing w:before="0" w:after="0"/>
              <w:jc w:val="center"/>
              <w:rPr>
                <w:spacing w:val="0"/>
              </w:rPr>
            </w:pPr>
            <w:r>
              <w:rPr>
                <w:spacing w:val="0"/>
              </w:rPr>
              <w:t>  </w:t>
            </w:r>
            <w:r>
              <w:rPr>
                <w:b/>
                <w:spacing w:val="0"/>
              </w:rPr>
              <w:t>reserve  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0"/>
              <w:jc w:val="center"/>
              <w:rPr>
                <w:b/>
                <w:spacing w:val="0"/>
              </w:rPr>
            </w:pPr>
            <w:r>
              <w:rPr>
                <w:b/>
                <w:spacing w:val="0"/>
              </w:rPr>
              <w:t>Foreign</w:t>
            </w:r>
          </w:p>
          <w:p>
            <w:pPr>
              <w:pStyle w:val="TableContents"/>
              <w:bidi w:val="0"/>
              <w:spacing w:before="0" w:after="0"/>
              <w:jc w:val="center"/>
              <w:rPr/>
            </w:pPr>
            <w:r>
              <w:rPr/>
            </w:r>
          </w:p>
          <w:p>
            <w:pPr>
              <w:pStyle w:val="TableContents"/>
              <w:bidi w:val="0"/>
              <w:spacing w:before="0" w:after="0"/>
              <w:jc w:val="center"/>
              <w:rPr>
                <w:b/>
                <w:spacing w:val="0"/>
              </w:rPr>
            </w:pPr>
            <w:r>
              <w:rPr>
                <w:b/>
                <w:spacing w:val="0"/>
              </w:rPr>
              <w:t>currency</w:t>
            </w:r>
          </w:p>
          <w:p>
            <w:pPr>
              <w:pStyle w:val="TableContents"/>
              <w:bidi w:val="0"/>
              <w:spacing w:before="0" w:after="0"/>
              <w:jc w:val="center"/>
              <w:rPr/>
            </w:pPr>
            <w:r>
              <w:rPr/>
            </w:r>
          </w:p>
          <w:p>
            <w:pPr>
              <w:pStyle w:val="TableContents"/>
              <w:bidi w:val="0"/>
              <w:spacing w:before="0" w:after="0"/>
              <w:jc w:val="center"/>
              <w:rPr>
                <w:spacing w:val="0"/>
              </w:rPr>
            </w:pPr>
            <w:r>
              <w:rPr>
                <w:spacing w:val="0"/>
              </w:rPr>
              <w:t> </w:t>
            </w:r>
            <w:r>
              <w:rPr>
                <w:b/>
                <w:spacing w:val="0"/>
              </w:rPr>
              <w:t>translation </w:t>
            </w:r>
          </w:p>
          <w:p>
            <w:pPr>
              <w:pStyle w:val="TableContents"/>
              <w:bidi w:val="0"/>
              <w:spacing w:before="0" w:after="0"/>
              <w:jc w:val="center"/>
              <w:rPr/>
            </w:pPr>
            <w:r>
              <w:rPr/>
            </w:r>
          </w:p>
          <w:p>
            <w:pPr>
              <w:pStyle w:val="TableContents"/>
              <w:bidi w:val="0"/>
              <w:spacing w:before="0" w:after="0"/>
              <w:jc w:val="center"/>
              <w:rPr>
                <w:b/>
                <w:spacing w:val="0"/>
              </w:rPr>
            </w:pPr>
            <w:r>
              <w:rPr>
                <w:b/>
                <w:spacing w:val="0"/>
              </w:rPr>
              <w:t>reserve</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gridSpan w:val="2"/>
            <w:tcBorders/>
            <w:vAlign w:val="center"/>
          </w:tcPr>
          <w:p>
            <w:pPr>
              <w:pStyle w:val="TableContents"/>
              <w:bidi w:val="0"/>
              <w:spacing w:before="0" w:after="0"/>
              <w:jc w:val="center"/>
              <w:rPr>
                <w:b/>
                <w:spacing w:val="0"/>
              </w:rPr>
            </w:pPr>
            <w:r>
              <w:rPr>
                <w:b/>
                <w:spacing w:val="0"/>
              </w:rPr>
              <w:t>Capital</w:t>
            </w:r>
          </w:p>
          <w:p>
            <w:pPr>
              <w:pStyle w:val="TableContents"/>
              <w:bidi w:val="0"/>
              <w:spacing w:before="0" w:after="0"/>
              <w:jc w:val="center"/>
              <w:rPr/>
            </w:pPr>
            <w:r>
              <w:rPr/>
            </w:r>
          </w:p>
          <w:p>
            <w:pPr>
              <w:pStyle w:val="TableContents"/>
              <w:bidi w:val="0"/>
              <w:spacing w:before="0" w:after="0"/>
              <w:jc w:val="center"/>
              <w:rPr>
                <w:spacing w:val="0"/>
              </w:rPr>
            </w:pPr>
            <w:r>
              <w:rPr>
                <w:spacing w:val="0"/>
              </w:rPr>
              <w:t>  </w:t>
            </w:r>
            <w:r>
              <w:rPr>
                <w:b/>
                <w:spacing w:val="0"/>
              </w:rPr>
              <w:t>reserve  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0"/>
              <w:jc w:val="center"/>
              <w:rPr>
                <w:b/>
                <w:spacing w:val="0"/>
              </w:rPr>
            </w:pPr>
            <w:r>
              <w:rPr>
                <w:b/>
                <w:spacing w:val="0"/>
              </w:rPr>
              <w:t>Accumulated</w:t>
            </w:r>
          </w:p>
          <w:p>
            <w:pPr>
              <w:pStyle w:val="TableContents"/>
              <w:bidi w:val="0"/>
              <w:spacing w:before="0" w:after="0"/>
              <w:jc w:val="center"/>
              <w:rPr/>
            </w:pPr>
            <w:r>
              <w:rPr/>
            </w:r>
          </w:p>
          <w:p>
            <w:pPr>
              <w:pStyle w:val="TableContents"/>
              <w:bidi w:val="0"/>
              <w:spacing w:before="0" w:after="0"/>
              <w:jc w:val="center"/>
              <w:rPr>
                <w:b/>
                <w:spacing w:val="0"/>
              </w:rPr>
            </w:pPr>
            <w:r>
              <w:rPr>
                <w:b/>
                <w:spacing w:val="0"/>
              </w:rPr>
              <w:t>deficit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0"/>
              <w:jc w:val="center"/>
              <w:rPr>
                <w:b/>
                <w:spacing w:val="0"/>
              </w:rPr>
            </w:pPr>
            <w:r>
              <w:rPr>
                <w:b/>
                <w:spacing w:val="0"/>
              </w:rPr>
              <w:t>Total</w:t>
            </w:r>
          </w:p>
          <w:p>
            <w:pPr>
              <w:pStyle w:val="TableContents"/>
              <w:bidi w:val="0"/>
              <w:spacing w:before="0" w:after="0"/>
              <w:jc w:val="center"/>
              <w:rPr/>
            </w:pPr>
            <w:r>
              <w:rPr/>
            </w:r>
          </w:p>
          <w:p>
            <w:pPr>
              <w:pStyle w:val="TableContents"/>
              <w:bidi w:val="0"/>
              <w:spacing w:before="0" w:after="0"/>
              <w:jc w:val="center"/>
              <w:rPr>
                <w:b/>
                <w:spacing w:val="0"/>
              </w:rPr>
            </w:pPr>
            <w:r>
              <w:rPr>
                <w:b/>
                <w:spacing w:val="0"/>
              </w:rPr>
              <w:t>equity</w:t>
            </w:r>
          </w:p>
          <w:p>
            <w:pPr>
              <w:pStyle w:val="TableContents"/>
              <w:bidi w:val="0"/>
              <w:spacing w:before="0" w:after="0"/>
              <w:jc w:val="center"/>
              <w:rPr/>
            </w:pPr>
            <w:r>
              <w:rPr/>
            </w:r>
          </w:p>
          <w:p>
            <w:pPr>
              <w:pStyle w:val="TableContents"/>
              <w:bidi w:val="0"/>
              <w:spacing w:before="0" w:after="0"/>
              <w:jc w:val="center"/>
              <w:rPr>
                <w:b/>
                <w:spacing w:val="0"/>
              </w:rPr>
            </w:pPr>
            <w:r>
              <w:rPr>
                <w:b/>
                <w:spacing w:val="0"/>
              </w:rPr>
              <w:t>attributable</w:t>
              <w:br/>
              <w:t>to equity</w:t>
              <w:br/>
              <w:t>holders</w:t>
            </w:r>
          </w:p>
        </w:tc>
        <w:tc>
          <w:tcPr>
            <w:tcW w:w="17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90" w:type="dxa"/>
            <w:gridSpan w:val="30"/>
            <w:tcBorders/>
            <w:vAlign w:val="center"/>
          </w:tcPr>
          <w:p>
            <w:pPr>
              <w:pStyle w:val="TableContents"/>
              <w:bidi w:val="0"/>
              <w:spacing w:before="0" w:after="0"/>
              <w:jc w:val="center"/>
              <w:rPr>
                <w:b/>
                <w:spacing w:val="0"/>
              </w:rPr>
            </w:pPr>
            <w:r>
              <w:rPr>
                <w:b/>
                <w:spacing w:val="0"/>
              </w:rPr>
              <w:t>(in thousands)</w:t>
            </w:r>
          </w:p>
        </w:tc>
        <w:tc>
          <w:tcPr>
            <w:tcW w:w="17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0"/>
              <w:jc w:val="center"/>
              <w:rPr>
                <w:b/>
                <w:spacing w:val="0"/>
              </w:rPr>
            </w:pPr>
            <w:r>
              <w:rPr>
                <w:b/>
                <w:spacing w:val="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0"/>
              <w:jc w:val="center"/>
              <w:rPr>
                <w:b/>
                <w:spacing w:val="0"/>
              </w:rPr>
            </w:pPr>
            <w:r>
              <w:rPr>
                <w:b/>
                <w:spacing w:val="0"/>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0"/>
              <w:jc w:val="center"/>
              <w:rPr>
                <w:b/>
                <w:spacing w:val="0"/>
              </w:rPr>
            </w:pPr>
            <w:r>
              <w:rPr>
                <w:b/>
                <w:spacing w:val="0"/>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0"/>
              <w:jc w:val="center"/>
              <w:rPr>
                <w:b/>
                <w:spacing w:val="0"/>
              </w:rPr>
            </w:pPr>
            <w:r>
              <w:rPr>
                <w:b/>
                <w:spacing w:val="0"/>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0"/>
              <w:jc w:val="center"/>
              <w:rPr>
                <w:b/>
                <w:spacing w:val="0"/>
              </w:rPr>
            </w:pPr>
            <w:r>
              <w:rPr>
                <w:b/>
                <w:spacing w:val="0"/>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gridSpan w:val="2"/>
            <w:tcBorders/>
            <w:vAlign w:val="center"/>
          </w:tcPr>
          <w:p>
            <w:pPr>
              <w:pStyle w:val="TableContents"/>
              <w:bidi w:val="0"/>
              <w:spacing w:before="0" w:after="0"/>
              <w:jc w:val="center"/>
              <w:rPr>
                <w:b/>
                <w:spacing w:val="0"/>
              </w:rPr>
            </w:pPr>
            <w:r>
              <w:rPr>
                <w:b/>
                <w:spacing w:val="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0"/>
              <w:jc w:val="center"/>
              <w:rPr>
                <w:b/>
                <w:spacing w:val="0"/>
              </w:rPr>
            </w:pPr>
            <w:r>
              <w:rPr>
                <w:b/>
                <w:spacing w:val="0"/>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0"/>
              <w:jc w:val="center"/>
              <w:rPr>
                <w:b/>
                <w:spacing w:val="0"/>
              </w:rPr>
            </w:pPr>
            <w:r>
              <w:rPr>
                <w:b/>
                <w:spacing w:val="0"/>
              </w:rPr>
              <w:t>£</w:t>
            </w:r>
          </w:p>
        </w:tc>
        <w:tc>
          <w:tcPr>
            <w:tcW w:w="170"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Balance at January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80" w:type="dxa"/>
            <w:tcBorders/>
            <w:shd w:fill="CCEEFF" w:val="clear"/>
            <w:vAlign w:val="center"/>
          </w:tcPr>
          <w:p>
            <w:pPr>
              <w:pStyle w:val="TableContents"/>
              <w:bidi w:val="0"/>
              <w:spacing w:before="0" w:after="0"/>
              <w:jc w:val="right"/>
              <w:rPr>
                <w:b/>
                <w:spacing w:val="0"/>
              </w:rPr>
            </w:pPr>
            <w:r>
              <w:rPr>
                <w:b/>
                <w:spacing w:val="0"/>
              </w:rPr>
              <w:t>5,681</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0"/>
              <w:jc w:val="left"/>
              <w:rPr>
                <w:spacing w:val="0"/>
              </w:rPr>
            </w:pPr>
            <w:r>
              <w:rPr>
                <w:spacing w:val="0"/>
              </w:rPr>
              <w:t> </w:t>
            </w:r>
          </w:p>
        </w:tc>
        <w:tc>
          <w:tcPr>
            <w:tcW w:w="884" w:type="dxa"/>
            <w:tcBorders/>
            <w:shd w:fill="CCEEFF" w:val="clear"/>
            <w:vAlign w:val="center"/>
          </w:tcPr>
          <w:p>
            <w:pPr>
              <w:pStyle w:val="TableContents"/>
              <w:bidi w:val="0"/>
              <w:spacing w:before="0" w:after="0"/>
              <w:jc w:val="right"/>
              <w:rPr>
                <w:b/>
                <w:spacing w:val="0"/>
              </w:rPr>
            </w:pPr>
            <w:r>
              <w:rPr>
                <w:b/>
                <w:spacing w:val="0"/>
              </w:rPr>
              <w:t>146,146</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0"/>
              <w:jc w:val="left"/>
              <w:rPr>
                <w:spacing w:val="0"/>
              </w:rPr>
            </w:pPr>
            <w:r>
              <w:rPr>
                <w:spacing w:val="0"/>
              </w:rPr>
              <w:t> </w:t>
            </w:r>
          </w:p>
        </w:tc>
        <w:tc>
          <w:tcPr>
            <w:tcW w:w="668" w:type="dxa"/>
            <w:tcBorders/>
            <w:shd w:fill="CCEEFF" w:val="clear"/>
            <w:vAlign w:val="center"/>
          </w:tcPr>
          <w:p>
            <w:pPr>
              <w:pStyle w:val="TableContents"/>
              <w:bidi w:val="0"/>
              <w:spacing w:before="0" w:after="0"/>
              <w:jc w:val="right"/>
              <w:rPr>
                <w:b/>
                <w:spacing w:val="0"/>
              </w:rPr>
            </w:pPr>
            <w:r>
              <w:rPr>
                <w:b/>
                <w:spacing w:val="0"/>
              </w:rPr>
              <w:t>(339</w:t>
            </w:r>
          </w:p>
        </w:tc>
        <w:tc>
          <w:tcPr>
            <w:tcW w:w="155" w:type="dxa"/>
            <w:tcBorders/>
            <w:shd w:fill="CCEEFF" w:val="clear"/>
            <w:vAlign w:val="center"/>
          </w:tcPr>
          <w:p>
            <w:pPr>
              <w:pStyle w:val="TableContents"/>
              <w:bidi w:val="0"/>
              <w:spacing w:before="0" w:after="0"/>
              <w:jc w:val="left"/>
              <w:rPr>
                <w:b/>
                <w:spacing w:val="0"/>
              </w:rPr>
            </w:pPr>
            <w:r>
              <w:rPr>
                <w:b/>
                <w:spacing w:val="0"/>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0"/>
              <w:jc w:val="left"/>
              <w:rPr>
                <w:spacing w:val="0"/>
              </w:rPr>
            </w:pPr>
            <w:r>
              <w:rPr>
                <w:spacing w:val="0"/>
              </w:rPr>
              <w:t> </w:t>
            </w:r>
          </w:p>
        </w:tc>
        <w:tc>
          <w:tcPr>
            <w:tcW w:w="694" w:type="dxa"/>
            <w:tcBorders/>
            <w:shd w:fill="CCEEFF" w:val="clear"/>
            <w:vAlign w:val="center"/>
          </w:tcPr>
          <w:p>
            <w:pPr>
              <w:pStyle w:val="TableContents"/>
              <w:bidi w:val="0"/>
              <w:spacing w:before="0" w:after="0"/>
              <w:jc w:val="right"/>
              <w:rPr>
                <w:b/>
                <w:spacing w:val="0"/>
              </w:rPr>
            </w:pPr>
            <w:r>
              <w:rPr>
                <w:b/>
                <w:spacing w:val="0"/>
              </w:rPr>
              <w:t>36,276</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0"/>
              <w:jc w:val="left"/>
              <w:rPr>
                <w:spacing w:val="0"/>
              </w:rPr>
            </w:pPr>
            <w:r>
              <w:rPr>
                <w:spacing w:val="0"/>
              </w:rPr>
              <w:t> </w:t>
            </w:r>
          </w:p>
        </w:tc>
        <w:tc>
          <w:tcPr>
            <w:tcW w:w="946" w:type="dxa"/>
            <w:tcBorders/>
            <w:shd w:fill="CCEEFF" w:val="clear"/>
            <w:vAlign w:val="center"/>
          </w:tcPr>
          <w:p>
            <w:pPr>
              <w:pStyle w:val="TableContents"/>
              <w:bidi w:val="0"/>
              <w:spacing w:before="0" w:after="0"/>
              <w:jc w:val="right"/>
              <w:rPr>
                <w:b/>
                <w:spacing w:val="0"/>
              </w:rPr>
            </w:pPr>
            <w:r>
              <w:rPr>
                <w:b/>
                <w:spacing w:val="0"/>
              </w:rPr>
              <w:t>18</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0"/>
              <w:jc w:val="left"/>
              <w:rPr>
                <w:spacing w:val="0"/>
              </w:rPr>
            </w:pPr>
            <w:r>
              <w:rPr>
                <w:spacing w:val="0"/>
              </w:rPr>
              <w:t> </w:t>
            </w:r>
          </w:p>
        </w:tc>
        <w:tc>
          <w:tcPr>
            <w:tcW w:w="708" w:type="dxa"/>
            <w:tcBorders/>
            <w:shd w:fill="CCEEFF" w:val="clear"/>
            <w:vAlign w:val="center"/>
          </w:tcPr>
          <w:p>
            <w:pPr>
              <w:pStyle w:val="TableContents"/>
              <w:bidi w:val="0"/>
              <w:spacing w:before="0" w:after="0"/>
              <w:jc w:val="right"/>
              <w:rPr>
                <w:b/>
                <w:spacing w:val="0"/>
              </w:rPr>
            </w:pPr>
            <w:r>
              <w:rPr>
                <w:b/>
                <w:spacing w:val="0"/>
              </w:rPr>
              <w:t>42,466</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0"/>
              <w:jc w:val="left"/>
              <w:rPr>
                <w:spacing w:val="0"/>
              </w:rPr>
            </w:pPr>
            <w:r>
              <w:rPr>
                <w:spacing w:val="0"/>
              </w:rPr>
              <w:t> </w:t>
            </w:r>
          </w:p>
        </w:tc>
        <w:tc>
          <w:tcPr>
            <w:tcW w:w="1283" w:type="dxa"/>
            <w:tcBorders/>
            <w:shd w:fill="CCEEFF" w:val="clear"/>
            <w:vAlign w:val="center"/>
          </w:tcPr>
          <w:p>
            <w:pPr>
              <w:pStyle w:val="TableContents"/>
              <w:bidi w:val="0"/>
              <w:spacing w:before="0" w:after="0"/>
              <w:jc w:val="right"/>
              <w:rPr>
                <w:b/>
                <w:spacing w:val="0"/>
              </w:rPr>
            </w:pPr>
            <w:r>
              <w:rPr>
                <w:b/>
                <w:spacing w:val="0"/>
              </w:rPr>
              <w:t>(224,294</w:t>
            </w:r>
          </w:p>
        </w:tc>
        <w:tc>
          <w:tcPr>
            <w:tcW w:w="155" w:type="dxa"/>
            <w:tcBorders/>
            <w:shd w:fill="CCEEFF" w:val="clear"/>
            <w:vAlign w:val="center"/>
          </w:tcPr>
          <w:p>
            <w:pPr>
              <w:pStyle w:val="TableContents"/>
              <w:bidi w:val="0"/>
              <w:spacing w:before="0" w:after="0"/>
              <w:jc w:val="left"/>
              <w:rPr>
                <w:b/>
                <w:spacing w:val="0"/>
              </w:rPr>
            </w:pPr>
            <w:r>
              <w:rPr>
                <w:b/>
                <w:spacing w:val="0"/>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0"/>
              <w:jc w:val="left"/>
              <w:rPr>
                <w:spacing w:val="0"/>
              </w:rPr>
            </w:pPr>
            <w:r>
              <w:rPr>
                <w:spacing w:val="0"/>
              </w:rPr>
              <w:t> </w:t>
            </w:r>
          </w:p>
        </w:tc>
        <w:tc>
          <w:tcPr>
            <w:tcW w:w="1131" w:type="dxa"/>
            <w:tcBorders/>
            <w:shd w:fill="CCEEFF" w:val="clear"/>
            <w:vAlign w:val="center"/>
          </w:tcPr>
          <w:p>
            <w:pPr>
              <w:pStyle w:val="TableContents"/>
              <w:bidi w:val="0"/>
              <w:spacing w:before="0" w:after="0"/>
              <w:jc w:val="right"/>
              <w:rPr>
                <w:b/>
                <w:spacing w:val="0"/>
              </w:rPr>
            </w:pPr>
            <w:r>
              <w:rPr>
                <w:b/>
                <w:spacing w:val="0"/>
              </w:rPr>
              <w:t>5,954</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12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Loss for the period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88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9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pPr>
            <w:r>
              <w:rPr/>
              <w:t>(26,587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131" w:type="dxa"/>
            <w:tcBorders/>
            <w:vAlign w:val="center"/>
          </w:tcPr>
          <w:p>
            <w:pPr>
              <w:pStyle w:val="TableContents"/>
              <w:bidi w:val="0"/>
              <w:spacing w:before="0" w:after="283"/>
              <w:jc w:val="right"/>
              <w:rPr/>
            </w:pPr>
            <w:r>
              <w:rPr/>
              <w:t>(26,587</w:t>
            </w:r>
          </w:p>
        </w:tc>
        <w:tc>
          <w:tcPr>
            <w:tcW w:w="170"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comprehensive expense for the period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(76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(76</w:t>
            </w:r>
          </w:p>
        </w:tc>
        <w:tc>
          <w:tcPr>
            <w:tcW w:w="170" w:type="dxa"/>
            <w:tcBorders/>
            <w:shd w:fill="CCEEFF" w:val="cle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8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6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9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4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0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8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3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comprehensive loss for the period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88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9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(76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pPr>
            <w:r>
              <w:rPr/>
              <w:t>(26,587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131" w:type="dxa"/>
            <w:tcBorders/>
            <w:vAlign w:val="center"/>
          </w:tcPr>
          <w:p>
            <w:pPr>
              <w:pStyle w:val="TableContents"/>
              <w:bidi w:val="0"/>
              <w:spacing w:before="0" w:after="283"/>
              <w:jc w:val="right"/>
              <w:rPr/>
            </w:pPr>
            <w:r>
              <w:rPr/>
              <w:t>(26,663</w:t>
            </w:r>
          </w:p>
        </w:tc>
        <w:tc>
          <w:tcPr>
            <w:tcW w:w="170"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Share-based payments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right"/>
              <w:rPr/>
            </w:pPr>
            <w:r>
              <w:rPr/>
              <w:t>8,247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8,247</w:t>
            </w:r>
          </w:p>
        </w:tc>
        <w:tc>
          <w:tcPr>
            <w:tcW w:w="170" w:type="dxa"/>
            <w:tcBorders/>
            <w:shd w:fill="CCEEFF" w:val="cle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Exercise of share options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88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94" w:type="dxa"/>
            <w:tcBorders/>
            <w:vAlign w:val="center"/>
          </w:tcPr>
          <w:p>
            <w:pPr>
              <w:pStyle w:val="TableContents"/>
              <w:bidi w:val="0"/>
              <w:spacing w:before="0" w:after="283"/>
              <w:jc w:val="right"/>
              <w:rPr/>
            </w:pPr>
            <w:r>
              <w:rPr/>
              <w:t>(43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pPr>
            <w:r>
              <w:rPr/>
              <w:t>43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131" w:type="dxa"/>
            <w:tcBorders/>
            <w:vAlign w:val="center"/>
          </w:tcPr>
          <w:p>
            <w:pPr>
              <w:pStyle w:val="TableContents"/>
              <w:bidi w:val="0"/>
              <w:spacing w:before="0" w:after="283"/>
              <w:jc w:val="right"/>
              <w:rPr/>
            </w:pPr>
            <w:r>
              <w:rPr/>
              <w:t>1</w:t>
            </w:r>
          </w:p>
        </w:tc>
        <w:tc>
          <w:tcPr>
            <w:tcW w:w="170"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Lapse of share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right"/>
              <w:rPr/>
            </w:pPr>
            <w:r>
              <w:rPr/>
              <w:t>(142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142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Issue of share 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884" w:type="dxa"/>
            <w:tcBorders/>
            <w:vAlign w:val="center"/>
          </w:tcPr>
          <w:p>
            <w:pPr>
              <w:pStyle w:val="TableContents"/>
              <w:bidi w:val="0"/>
              <w:spacing w:before="0" w:after="283"/>
              <w:jc w:val="right"/>
              <w:rPr/>
            </w:pPr>
            <w:r>
              <w:rPr/>
              <w:t>803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9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131" w:type="dxa"/>
            <w:tcBorders/>
            <w:vAlign w:val="center"/>
          </w:tcPr>
          <w:p>
            <w:pPr>
              <w:pStyle w:val="TableContents"/>
              <w:bidi w:val="0"/>
              <w:spacing w:before="0" w:after="283"/>
              <w:jc w:val="right"/>
              <w:rPr/>
            </w:pPr>
            <w:r>
              <w:rPr/>
              <w:t>1,222</w:t>
            </w:r>
          </w:p>
        </w:tc>
        <w:tc>
          <w:tcPr>
            <w:tcW w:w="170"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Exercise of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3,731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15,188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18,919</w:t>
            </w:r>
          </w:p>
        </w:tc>
        <w:tc>
          <w:tcPr>
            <w:tcW w:w="170" w:type="dxa"/>
            <w:tcBorders/>
            <w:shd w:fill="CCEEFF" w:val="cle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Share issue expenses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884" w:type="dxa"/>
            <w:tcBorders/>
            <w:vAlign w:val="center"/>
          </w:tcPr>
          <w:p>
            <w:pPr>
              <w:pStyle w:val="TableContents"/>
              <w:bidi w:val="0"/>
              <w:spacing w:before="0" w:after="283"/>
              <w:jc w:val="right"/>
              <w:rPr/>
            </w:pPr>
            <w:r>
              <w:rPr/>
              <w:t>(296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9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131" w:type="dxa"/>
            <w:tcBorders/>
            <w:vAlign w:val="center"/>
          </w:tcPr>
          <w:p>
            <w:pPr>
              <w:pStyle w:val="TableContents"/>
              <w:bidi w:val="0"/>
              <w:spacing w:before="0" w:after="283"/>
              <w:jc w:val="right"/>
              <w:rPr/>
            </w:pPr>
            <w:r>
              <w:rPr/>
              <w:t>(296</w:t>
            </w:r>
          </w:p>
        </w:tc>
        <w:tc>
          <w:tcPr>
            <w:tcW w:w="17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8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6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9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4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0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8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3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Balance at June 30,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80" w:type="dxa"/>
            <w:tcBorders/>
            <w:shd w:fill="CCEEFF" w:val="clear"/>
            <w:vAlign w:val="center"/>
          </w:tcPr>
          <w:p>
            <w:pPr>
              <w:pStyle w:val="TableContents"/>
              <w:bidi w:val="0"/>
              <w:spacing w:before="0" w:after="0"/>
              <w:jc w:val="right"/>
              <w:rPr>
                <w:b/>
                <w:spacing w:val="0"/>
              </w:rPr>
            </w:pPr>
            <w:r>
              <w:rPr>
                <w:b/>
                <w:spacing w:val="0"/>
              </w:rPr>
              <w:t>9,832</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0"/>
              <w:jc w:val="left"/>
              <w:rPr>
                <w:spacing w:val="0"/>
              </w:rPr>
            </w:pPr>
            <w:r>
              <w:rPr>
                <w:spacing w:val="0"/>
              </w:rPr>
              <w:t> </w:t>
            </w:r>
          </w:p>
        </w:tc>
        <w:tc>
          <w:tcPr>
            <w:tcW w:w="884" w:type="dxa"/>
            <w:tcBorders/>
            <w:shd w:fill="CCEEFF" w:val="clear"/>
            <w:vAlign w:val="center"/>
          </w:tcPr>
          <w:p>
            <w:pPr>
              <w:pStyle w:val="TableContents"/>
              <w:bidi w:val="0"/>
              <w:spacing w:before="0" w:after="0"/>
              <w:jc w:val="right"/>
              <w:rPr>
                <w:b/>
                <w:spacing w:val="0"/>
              </w:rPr>
            </w:pPr>
            <w:r>
              <w:rPr>
                <w:b/>
                <w:spacing w:val="0"/>
              </w:rPr>
              <w:t>161,841</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0"/>
              <w:jc w:val="left"/>
              <w:rPr>
                <w:spacing w:val="0"/>
              </w:rPr>
            </w:pPr>
            <w:r>
              <w:rPr>
                <w:spacing w:val="0"/>
              </w:rPr>
              <w:t> </w:t>
            </w:r>
          </w:p>
        </w:tc>
        <w:tc>
          <w:tcPr>
            <w:tcW w:w="668" w:type="dxa"/>
            <w:tcBorders/>
            <w:shd w:fill="CCEEFF" w:val="clear"/>
            <w:vAlign w:val="center"/>
          </w:tcPr>
          <w:p>
            <w:pPr>
              <w:pStyle w:val="TableContents"/>
              <w:bidi w:val="0"/>
              <w:spacing w:before="0" w:after="0"/>
              <w:jc w:val="right"/>
              <w:rPr>
                <w:b/>
                <w:spacing w:val="0"/>
              </w:rPr>
            </w:pPr>
            <w:r>
              <w:rPr>
                <w:b/>
                <w:spacing w:val="0"/>
              </w:rPr>
              <w:t>(339</w:t>
            </w:r>
          </w:p>
        </w:tc>
        <w:tc>
          <w:tcPr>
            <w:tcW w:w="155" w:type="dxa"/>
            <w:tcBorders/>
            <w:shd w:fill="CCEEFF" w:val="clear"/>
            <w:vAlign w:val="center"/>
          </w:tcPr>
          <w:p>
            <w:pPr>
              <w:pStyle w:val="TableContents"/>
              <w:bidi w:val="0"/>
              <w:spacing w:before="0" w:after="0"/>
              <w:jc w:val="left"/>
              <w:rPr>
                <w:b/>
                <w:spacing w:val="0"/>
              </w:rPr>
            </w:pPr>
            <w:r>
              <w:rPr>
                <w:b/>
                <w:spacing w:val="0"/>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0"/>
              <w:jc w:val="left"/>
              <w:rPr>
                <w:spacing w:val="0"/>
              </w:rPr>
            </w:pPr>
            <w:r>
              <w:rPr>
                <w:spacing w:val="0"/>
              </w:rPr>
              <w:t> </w:t>
            </w:r>
          </w:p>
        </w:tc>
        <w:tc>
          <w:tcPr>
            <w:tcW w:w="694" w:type="dxa"/>
            <w:tcBorders/>
            <w:shd w:fill="CCEEFF" w:val="clear"/>
            <w:vAlign w:val="center"/>
          </w:tcPr>
          <w:p>
            <w:pPr>
              <w:pStyle w:val="TableContents"/>
              <w:bidi w:val="0"/>
              <w:spacing w:before="0" w:after="0"/>
              <w:jc w:val="right"/>
              <w:rPr>
                <w:b/>
                <w:spacing w:val="0"/>
              </w:rPr>
            </w:pPr>
            <w:r>
              <w:rPr>
                <w:b/>
                <w:spacing w:val="0"/>
              </w:rPr>
              <w:t>44,338</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0"/>
              <w:jc w:val="left"/>
              <w:rPr>
                <w:spacing w:val="0"/>
              </w:rPr>
            </w:pPr>
            <w:r>
              <w:rPr>
                <w:spacing w:val="0"/>
              </w:rPr>
              <w:t> </w:t>
            </w:r>
          </w:p>
        </w:tc>
        <w:tc>
          <w:tcPr>
            <w:tcW w:w="946" w:type="dxa"/>
            <w:tcBorders/>
            <w:shd w:fill="CCEEFF" w:val="clear"/>
            <w:vAlign w:val="center"/>
          </w:tcPr>
          <w:p>
            <w:pPr>
              <w:pStyle w:val="TableContents"/>
              <w:bidi w:val="0"/>
              <w:spacing w:before="0" w:after="0"/>
              <w:jc w:val="right"/>
              <w:rPr>
                <w:b/>
                <w:spacing w:val="0"/>
              </w:rPr>
            </w:pPr>
            <w:r>
              <w:rPr>
                <w:b/>
                <w:spacing w:val="0"/>
              </w:rPr>
              <w:t>(58</w:t>
            </w:r>
          </w:p>
        </w:tc>
        <w:tc>
          <w:tcPr>
            <w:tcW w:w="155" w:type="dxa"/>
            <w:tcBorders/>
            <w:shd w:fill="CCEEFF" w:val="clear"/>
            <w:vAlign w:val="center"/>
          </w:tcPr>
          <w:p>
            <w:pPr>
              <w:pStyle w:val="TableContents"/>
              <w:bidi w:val="0"/>
              <w:spacing w:before="0" w:after="0"/>
              <w:jc w:val="left"/>
              <w:rPr>
                <w:b/>
                <w:spacing w:val="0"/>
              </w:rPr>
            </w:pPr>
            <w:r>
              <w:rPr>
                <w:b/>
                <w:spacing w:val="0"/>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0"/>
              <w:jc w:val="left"/>
              <w:rPr>
                <w:spacing w:val="0"/>
              </w:rPr>
            </w:pPr>
            <w:r>
              <w:rPr>
                <w:spacing w:val="0"/>
              </w:rPr>
              <w:t> </w:t>
            </w:r>
          </w:p>
        </w:tc>
        <w:tc>
          <w:tcPr>
            <w:tcW w:w="708" w:type="dxa"/>
            <w:tcBorders/>
            <w:shd w:fill="CCEEFF" w:val="clear"/>
            <w:vAlign w:val="center"/>
          </w:tcPr>
          <w:p>
            <w:pPr>
              <w:pStyle w:val="TableContents"/>
              <w:bidi w:val="0"/>
              <w:spacing w:before="0" w:after="0"/>
              <w:jc w:val="right"/>
              <w:rPr>
                <w:b/>
                <w:spacing w:val="0"/>
              </w:rPr>
            </w:pPr>
            <w:r>
              <w:rPr>
                <w:b/>
                <w:spacing w:val="0"/>
              </w:rPr>
              <w:t>42,466</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0"/>
              <w:jc w:val="left"/>
              <w:rPr>
                <w:spacing w:val="0"/>
              </w:rPr>
            </w:pPr>
            <w:r>
              <w:rPr>
                <w:spacing w:val="0"/>
              </w:rPr>
              <w:t> </w:t>
            </w:r>
          </w:p>
        </w:tc>
        <w:tc>
          <w:tcPr>
            <w:tcW w:w="1283" w:type="dxa"/>
            <w:tcBorders/>
            <w:shd w:fill="CCEEFF" w:val="clear"/>
            <w:vAlign w:val="center"/>
          </w:tcPr>
          <w:p>
            <w:pPr>
              <w:pStyle w:val="TableContents"/>
              <w:bidi w:val="0"/>
              <w:spacing w:before="0" w:after="0"/>
              <w:jc w:val="right"/>
              <w:rPr>
                <w:b/>
                <w:spacing w:val="0"/>
              </w:rPr>
            </w:pPr>
            <w:r>
              <w:rPr>
                <w:b/>
                <w:spacing w:val="0"/>
              </w:rPr>
              <w:t>(250,696</w:t>
            </w:r>
          </w:p>
        </w:tc>
        <w:tc>
          <w:tcPr>
            <w:tcW w:w="155" w:type="dxa"/>
            <w:tcBorders/>
            <w:shd w:fill="CCEEFF" w:val="clear"/>
            <w:vAlign w:val="center"/>
          </w:tcPr>
          <w:p>
            <w:pPr>
              <w:pStyle w:val="TableContents"/>
              <w:bidi w:val="0"/>
              <w:spacing w:before="0" w:after="0"/>
              <w:jc w:val="left"/>
              <w:rPr>
                <w:b/>
                <w:spacing w:val="0"/>
              </w:rPr>
            </w:pPr>
            <w:r>
              <w:rPr>
                <w:b/>
                <w:spacing w:val="0"/>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0"/>
              <w:jc w:val="left"/>
              <w:rPr>
                <w:spacing w:val="0"/>
              </w:rPr>
            </w:pPr>
            <w:r>
              <w:rPr>
                <w:spacing w:val="0"/>
              </w:rPr>
              <w:t> </w:t>
            </w:r>
          </w:p>
        </w:tc>
        <w:tc>
          <w:tcPr>
            <w:tcW w:w="1131" w:type="dxa"/>
            <w:tcBorders/>
            <w:shd w:fill="CCEEFF" w:val="clear"/>
            <w:vAlign w:val="center"/>
          </w:tcPr>
          <w:p>
            <w:pPr>
              <w:pStyle w:val="TableContents"/>
              <w:bidi w:val="0"/>
              <w:spacing w:before="0" w:after="0"/>
              <w:jc w:val="right"/>
              <w:rPr>
                <w:b/>
                <w:spacing w:val="0"/>
              </w:rPr>
            </w:pPr>
            <w:r>
              <w:rPr>
                <w:b/>
                <w:spacing w:val="0"/>
              </w:rPr>
              <w:t>7,384</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1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8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6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9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4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0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8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3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165" w:type="dxa"/>
            <w:gridSpan w:val="4"/>
            <w:tcBorders/>
            <w:vAlign w:val="center"/>
          </w:tcPr>
          <w:p>
            <w:pPr>
              <w:pStyle w:val="TableContents"/>
              <w:bidi w:val="0"/>
              <w:spacing w:before="0" w:after="283"/>
              <w:jc w:val="left"/>
              <w:rPr>
                <w:sz w:val="4"/>
                <w:szCs w:val="4"/>
              </w:rPr>
            </w:pPr>
            <w:r>
              <w:rPr>
                <w:sz w:val="4"/>
                <w:szCs w:val="4"/>
              </w:rPr>
            </w:r>
          </w:p>
        </w:tc>
        <w:tc>
          <w:tcPr>
            <w:tcW w:w="970" w:type="dxa"/>
            <w:gridSpan w:val="4"/>
            <w:tcBorders/>
            <w:vAlign w:val="center"/>
          </w:tcPr>
          <w:p>
            <w:pPr>
              <w:pStyle w:val="TableContents"/>
              <w:bidi w:val="0"/>
              <w:spacing w:before="0" w:after="283"/>
              <w:jc w:val="left"/>
              <w:rPr>
                <w:sz w:val="4"/>
                <w:szCs w:val="4"/>
              </w:rPr>
            </w:pPr>
            <w:r>
              <w:rPr>
                <w:sz w:val="4"/>
                <w:szCs w:val="4"/>
              </w:rPr>
            </w:r>
          </w:p>
        </w:tc>
        <w:tc>
          <w:tcPr>
            <w:tcW w:w="970"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890" w:type="dxa"/>
            <w:gridSpan w:val="4"/>
            <w:tcBorders/>
            <w:vAlign w:val="center"/>
          </w:tcPr>
          <w:p>
            <w:pPr>
              <w:pStyle w:val="TableContents"/>
              <w:bidi w:val="0"/>
              <w:spacing w:before="0" w:after="283"/>
              <w:jc w:val="left"/>
              <w:rPr>
                <w:sz w:val="4"/>
                <w:szCs w:val="4"/>
              </w:rPr>
            </w:pPr>
            <w:r>
              <w:rPr>
                <w:sz w:val="4"/>
                <w:szCs w:val="4"/>
              </w:rPr>
            </w:r>
          </w:p>
        </w:tc>
        <w:tc>
          <w:tcPr>
            <w:tcW w:w="1585"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r>
      <w:tr>
        <w:trPr/>
        <w:tc>
          <w:tcPr>
            <w:tcW w:w="126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Balance at January 1,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680" w:type="dxa"/>
            <w:tcBorders/>
            <w:vAlign w:val="center"/>
          </w:tcPr>
          <w:p>
            <w:pPr>
              <w:pStyle w:val="TableContents"/>
              <w:bidi w:val="0"/>
              <w:spacing w:before="0" w:after="0"/>
              <w:jc w:val="right"/>
              <w:rPr>
                <w:b/>
                <w:spacing w:val="0"/>
              </w:rPr>
            </w:pPr>
            <w:r>
              <w:rPr>
                <w:b/>
                <w:spacing w:val="0"/>
              </w:rPr>
              <w:t>14,340</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0"/>
              <w:jc w:val="left"/>
              <w:rPr>
                <w:spacing w:val="0"/>
              </w:rPr>
            </w:pPr>
            <w:r>
              <w:rPr>
                <w:spacing w:val="0"/>
              </w:rPr>
              <w:t> </w:t>
            </w:r>
          </w:p>
        </w:tc>
        <w:tc>
          <w:tcPr>
            <w:tcW w:w="884" w:type="dxa"/>
            <w:tcBorders/>
            <w:vAlign w:val="center"/>
          </w:tcPr>
          <w:p>
            <w:pPr>
              <w:pStyle w:val="TableContents"/>
              <w:bidi w:val="0"/>
              <w:spacing w:before="0" w:after="0"/>
              <w:jc w:val="right"/>
              <w:rPr>
                <w:b/>
                <w:spacing w:val="0"/>
              </w:rPr>
            </w:pPr>
            <w:r>
              <w:rPr>
                <w:b/>
                <w:spacing w:val="0"/>
              </w:rPr>
              <w:t>175,246</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0"/>
              <w:jc w:val="left"/>
              <w:rPr>
                <w:spacing w:val="0"/>
              </w:rPr>
            </w:pPr>
            <w:r>
              <w:rPr>
                <w:spacing w:val="0"/>
              </w:rPr>
              <w:t> </w:t>
            </w:r>
          </w:p>
        </w:tc>
        <w:tc>
          <w:tcPr>
            <w:tcW w:w="668" w:type="dxa"/>
            <w:tcBorders/>
            <w:vAlign w:val="center"/>
          </w:tcPr>
          <w:p>
            <w:pPr>
              <w:pStyle w:val="TableContents"/>
              <w:bidi w:val="0"/>
              <w:spacing w:before="0" w:after="0"/>
              <w:jc w:val="right"/>
              <w:rPr>
                <w:b/>
                <w:spacing w:val="0"/>
              </w:rPr>
            </w:pPr>
            <w:r>
              <w:rPr>
                <w:b/>
                <w:spacing w:val="0"/>
              </w:rPr>
              <w:t>(339</w:t>
            </w:r>
          </w:p>
        </w:tc>
        <w:tc>
          <w:tcPr>
            <w:tcW w:w="155" w:type="dxa"/>
            <w:tcBorders/>
            <w:vAlign w:val="center"/>
          </w:tcPr>
          <w:p>
            <w:pPr>
              <w:pStyle w:val="TableContents"/>
              <w:bidi w:val="0"/>
              <w:spacing w:before="0" w:after="0"/>
              <w:jc w:val="left"/>
              <w:rPr>
                <w:b/>
                <w:spacing w:val="0"/>
              </w:rPr>
            </w:pPr>
            <w:r>
              <w:rPr>
                <w:b/>
                <w:spacing w:val="0"/>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spacing w:val="0"/>
              </w:rPr>
            </w:pPr>
            <w:r>
              <w:rPr>
                <w:spacing w:val="0"/>
              </w:rPr>
              <w:t> </w:t>
            </w:r>
          </w:p>
        </w:tc>
        <w:tc>
          <w:tcPr>
            <w:tcW w:w="694" w:type="dxa"/>
            <w:tcBorders/>
            <w:vAlign w:val="center"/>
          </w:tcPr>
          <w:p>
            <w:pPr>
              <w:pStyle w:val="TableContents"/>
              <w:bidi w:val="0"/>
              <w:spacing w:before="0" w:after="0"/>
              <w:jc w:val="right"/>
              <w:rPr>
                <w:b/>
                <w:spacing w:val="0"/>
              </w:rPr>
            </w:pPr>
            <w:r>
              <w:rPr>
                <w:b/>
                <w:spacing w:val="0"/>
              </w:rPr>
              <w:t>44,991</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0"/>
              <w:jc w:val="left"/>
              <w:rPr>
                <w:spacing w:val="0"/>
              </w:rPr>
            </w:pPr>
            <w:r>
              <w:rPr>
                <w:spacing w:val="0"/>
              </w:rPr>
              <w:t> </w:t>
            </w:r>
          </w:p>
        </w:tc>
        <w:tc>
          <w:tcPr>
            <w:tcW w:w="946" w:type="dxa"/>
            <w:tcBorders/>
            <w:vAlign w:val="center"/>
          </w:tcPr>
          <w:p>
            <w:pPr>
              <w:pStyle w:val="TableContents"/>
              <w:bidi w:val="0"/>
              <w:spacing w:before="0" w:after="0"/>
              <w:jc w:val="right"/>
              <w:rPr>
                <w:b/>
                <w:spacing w:val="0"/>
              </w:rPr>
            </w:pPr>
            <w:r>
              <w:rPr>
                <w:b/>
                <w:spacing w:val="0"/>
              </w:rPr>
              <w:t>(43</w:t>
            </w:r>
          </w:p>
        </w:tc>
        <w:tc>
          <w:tcPr>
            <w:tcW w:w="155" w:type="dxa"/>
            <w:tcBorders/>
            <w:vAlign w:val="center"/>
          </w:tcPr>
          <w:p>
            <w:pPr>
              <w:pStyle w:val="TableContents"/>
              <w:bidi w:val="0"/>
              <w:spacing w:before="0" w:after="0"/>
              <w:jc w:val="left"/>
              <w:rPr>
                <w:b/>
                <w:spacing w:val="0"/>
              </w:rPr>
            </w:pPr>
            <w:r>
              <w:rPr>
                <w:b/>
                <w:spacing w:val="0"/>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0"/>
              <w:jc w:val="left"/>
              <w:rPr>
                <w:spacing w:val="0"/>
              </w:rPr>
            </w:pPr>
            <w:r>
              <w:rPr>
                <w:spacing w:val="0"/>
              </w:rPr>
              <w:t> </w:t>
            </w:r>
          </w:p>
        </w:tc>
        <w:tc>
          <w:tcPr>
            <w:tcW w:w="708" w:type="dxa"/>
            <w:tcBorders/>
            <w:vAlign w:val="center"/>
          </w:tcPr>
          <w:p>
            <w:pPr>
              <w:pStyle w:val="TableContents"/>
              <w:bidi w:val="0"/>
              <w:spacing w:before="0" w:after="0"/>
              <w:jc w:val="right"/>
              <w:rPr>
                <w:b/>
                <w:spacing w:val="0"/>
              </w:rPr>
            </w:pPr>
            <w:r>
              <w:rPr>
                <w:b/>
                <w:spacing w:val="0"/>
              </w:rPr>
              <w:t>42,466</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0"/>
              <w:jc w:val="left"/>
              <w:rPr>
                <w:spacing w:val="0"/>
              </w:rPr>
            </w:pPr>
            <w:r>
              <w:rPr>
                <w:spacing w:val="0"/>
              </w:rPr>
              <w:t> </w:t>
            </w:r>
          </w:p>
        </w:tc>
        <w:tc>
          <w:tcPr>
            <w:tcW w:w="1283" w:type="dxa"/>
            <w:tcBorders/>
            <w:vAlign w:val="center"/>
          </w:tcPr>
          <w:p>
            <w:pPr>
              <w:pStyle w:val="TableContents"/>
              <w:bidi w:val="0"/>
              <w:spacing w:before="0" w:after="0"/>
              <w:jc w:val="right"/>
              <w:rPr>
                <w:b/>
                <w:spacing w:val="0"/>
              </w:rPr>
            </w:pPr>
            <w:r>
              <w:rPr>
                <w:b/>
                <w:spacing w:val="0"/>
              </w:rPr>
              <w:t>(252,334</w:t>
            </w:r>
          </w:p>
        </w:tc>
        <w:tc>
          <w:tcPr>
            <w:tcW w:w="155" w:type="dxa"/>
            <w:tcBorders/>
            <w:vAlign w:val="center"/>
          </w:tcPr>
          <w:p>
            <w:pPr>
              <w:pStyle w:val="TableContents"/>
              <w:bidi w:val="0"/>
              <w:spacing w:before="0" w:after="0"/>
              <w:jc w:val="left"/>
              <w:rPr>
                <w:b/>
                <w:spacing w:val="0"/>
              </w:rPr>
            </w:pPr>
            <w:r>
              <w:rPr>
                <w:b/>
                <w:spacing w:val="0"/>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0"/>
              <w:jc w:val="left"/>
              <w:rPr>
                <w:spacing w:val="0"/>
              </w:rPr>
            </w:pPr>
            <w:r>
              <w:rPr>
                <w:spacing w:val="0"/>
              </w:rPr>
              <w:t> </w:t>
            </w:r>
          </w:p>
        </w:tc>
        <w:tc>
          <w:tcPr>
            <w:tcW w:w="1131" w:type="dxa"/>
            <w:tcBorders/>
            <w:vAlign w:val="center"/>
          </w:tcPr>
          <w:p>
            <w:pPr>
              <w:pStyle w:val="TableContents"/>
              <w:bidi w:val="0"/>
              <w:spacing w:before="0" w:after="0"/>
              <w:jc w:val="right"/>
              <w:rPr>
                <w:b/>
                <w:spacing w:val="0"/>
              </w:rPr>
            </w:pPr>
            <w:r>
              <w:rPr>
                <w:b/>
                <w:spacing w:val="0"/>
              </w:rPr>
              <w:t>24,327</w:t>
            </w:r>
          </w:p>
        </w:tc>
        <w:tc>
          <w:tcPr>
            <w:tcW w:w="170" w:type="dxa"/>
            <w:tcBorders/>
            <w:vAlign w:val="center"/>
          </w:tcPr>
          <w:p>
            <w:pPr>
              <w:pStyle w:val="TableContents"/>
              <w:bidi w:val="0"/>
              <w:spacing w:before="0" w:after="0"/>
              <w:jc w:val="left"/>
              <w:rPr>
                <w:spacing w:val="0"/>
              </w:rPr>
            </w:pPr>
            <w:r>
              <w:rPr>
                <w:spacing w:val="0"/>
              </w:rPr>
              <w:t> </w:t>
            </w:r>
          </w:p>
        </w:tc>
      </w:tr>
      <w:tr>
        <w:trPr/>
        <w:tc>
          <w:tcPr>
            <w:tcW w:w="12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Loss for the period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(6,945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(6,945</w:t>
            </w:r>
          </w:p>
        </w:tc>
        <w:tc>
          <w:tcPr>
            <w:tcW w:w="170" w:type="dxa"/>
            <w:tcBorders/>
            <w:shd w:fill="CCEEFF" w:val="cle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comprehensive income for the period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88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9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13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131" w:type="dxa"/>
            <w:tcBorders/>
            <w:vAlign w:val="center"/>
          </w:tcPr>
          <w:p>
            <w:pPr>
              <w:pStyle w:val="TableContents"/>
              <w:bidi w:val="0"/>
              <w:spacing w:before="0" w:after="283"/>
              <w:jc w:val="right"/>
              <w:rPr/>
            </w:pPr>
            <w:r>
              <w:rPr/>
              <w:t>13</w:t>
            </w:r>
          </w:p>
        </w:tc>
        <w:tc>
          <w:tcPr>
            <w:tcW w:w="17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8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6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9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4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0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8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3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comprehensive loss for the period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13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(6,945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(6,932</w:t>
            </w:r>
          </w:p>
        </w:tc>
        <w:tc>
          <w:tcPr>
            <w:tcW w:w="170" w:type="dxa"/>
            <w:tcBorders/>
            <w:shd w:fill="CCEEFF" w:val="cle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Share-based payments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88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94" w:type="dxa"/>
            <w:tcBorders/>
            <w:vAlign w:val="center"/>
          </w:tcPr>
          <w:p>
            <w:pPr>
              <w:pStyle w:val="TableContents"/>
              <w:bidi w:val="0"/>
              <w:spacing w:before="0" w:after="283"/>
              <w:jc w:val="right"/>
              <w:rPr/>
            </w:pPr>
            <w:r>
              <w:rPr/>
              <w:t>2,794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131" w:type="dxa"/>
            <w:tcBorders/>
            <w:vAlign w:val="center"/>
          </w:tcPr>
          <w:p>
            <w:pPr>
              <w:pStyle w:val="TableContents"/>
              <w:bidi w:val="0"/>
              <w:spacing w:before="0" w:after="283"/>
              <w:jc w:val="right"/>
              <w:rPr/>
            </w:pPr>
            <w:r>
              <w:rPr/>
              <w:t>2,794</w:t>
            </w:r>
          </w:p>
        </w:tc>
        <w:tc>
          <w:tcPr>
            <w:tcW w:w="170"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Lapse of share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right"/>
              <w:rPr/>
            </w:pPr>
            <w:r>
              <w:rPr/>
              <w:t>(5,530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5,530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Issue of share 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884" w:type="dxa"/>
            <w:tcBorders/>
            <w:vAlign w:val="center"/>
          </w:tcPr>
          <w:p>
            <w:pPr>
              <w:pStyle w:val="TableContents"/>
              <w:bidi w:val="0"/>
              <w:spacing w:before="0" w:after="283"/>
              <w:jc w:val="right"/>
              <w:rPr/>
            </w:pPr>
            <w:r>
              <w:rPr/>
              <w:t>203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9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131" w:type="dxa"/>
            <w:tcBorders/>
            <w:vAlign w:val="center"/>
          </w:tcPr>
          <w:p>
            <w:pPr>
              <w:pStyle w:val="TableContents"/>
              <w:bidi w:val="0"/>
              <w:spacing w:before="0" w:after="283"/>
              <w:jc w:val="right"/>
              <w:rPr/>
            </w:pPr>
            <w:r>
              <w:rPr/>
              <w:t>206</w:t>
            </w:r>
          </w:p>
        </w:tc>
        <w:tc>
          <w:tcPr>
            <w:tcW w:w="170"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Share issue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(135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(135</w:t>
            </w:r>
          </w:p>
        </w:tc>
        <w:tc>
          <w:tcPr>
            <w:tcW w:w="170" w:type="dxa"/>
            <w:tcBorders/>
            <w:shd w:fill="CCEEFF" w:val="cle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8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6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9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4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0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8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3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Balance at 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680" w:type="dxa"/>
            <w:tcBorders/>
            <w:vAlign w:val="center"/>
          </w:tcPr>
          <w:p>
            <w:pPr>
              <w:pStyle w:val="TableContents"/>
              <w:bidi w:val="0"/>
              <w:spacing w:before="0" w:after="0"/>
              <w:jc w:val="right"/>
              <w:rPr>
                <w:b/>
                <w:spacing w:val="0"/>
              </w:rPr>
            </w:pPr>
            <w:r>
              <w:rPr>
                <w:b/>
                <w:spacing w:val="0"/>
              </w:rPr>
              <w:t>14,343</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0"/>
              <w:jc w:val="left"/>
              <w:rPr>
                <w:spacing w:val="0"/>
              </w:rPr>
            </w:pPr>
            <w:r>
              <w:rPr>
                <w:spacing w:val="0"/>
              </w:rPr>
              <w:t> </w:t>
            </w:r>
          </w:p>
        </w:tc>
        <w:tc>
          <w:tcPr>
            <w:tcW w:w="884" w:type="dxa"/>
            <w:tcBorders/>
            <w:vAlign w:val="center"/>
          </w:tcPr>
          <w:p>
            <w:pPr>
              <w:pStyle w:val="TableContents"/>
              <w:bidi w:val="0"/>
              <w:spacing w:before="0" w:after="0"/>
              <w:jc w:val="right"/>
              <w:rPr>
                <w:b/>
                <w:spacing w:val="0"/>
              </w:rPr>
            </w:pPr>
            <w:r>
              <w:rPr>
                <w:b/>
                <w:spacing w:val="0"/>
              </w:rPr>
              <w:t>175,314</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0"/>
              <w:jc w:val="left"/>
              <w:rPr>
                <w:spacing w:val="0"/>
              </w:rPr>
            </w:pPr>
            <w:r>
              <w:rPr>
                <w:spacing w:val="0"/>
              </w:rPr>
              <w:t> </w:t>
            </w:r>
          </w:p>
        </w:tc>
        <w:tc>
          <w:tcPr>
            <w:tcW w:w="668" w:type="dxa"/>
            <w:tcBorders/>
            <w:vAlign w:val="center"/>
          </w:tcPr>
          <w:p>
            <w:pPr>
              <w:pStyle w:val="TableContents"/>
              <w:bidi w:val="0"/>
              <w:spacing w:before="0" w:after="0"/>
              <w:jc w:val="right"/>
              <w:rPr>
                <w:b/>
                <w:spacing w:val="0"/>
              </w:rPr>
            </w:pPr>
            <w:r>
              <w:rPr>
                <w:b/>
                <w:spacing w:val="0"/>
              </w:rPr>
              <w:t>(339</w:t>
            </w:r>
          </w:p>
        </w:tc>
        <w:tc>
          <w:tcPr>
            <w:tcW w:w="155" w:type="dxa"/>
            <w:tcBorders/>
            <w:vAlign w:val="center"/>
          </w:tcPr>
          <w:p>
            <w:pPr>
              <w:pStyle w:val="TableContents"/>
              <w:bidi w:val="0"/>
              <w:spacing w:before="0" w:after="0"/>
              <w:jc w:val="left"/>
              <w:rPr>
                <w:b/>
                <w:spacing w:val="0"/>
              </w:rPr>
            </w:pPr>
            <w:r>
              <w:rPr>
                <w:b/>
                <w:spacing w:val="0"/>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spacing w:val="0"/>
              </w:rPr>
            </w:pPr>
            <w:r>
              <w:rPr>
                <w:spacing w:val="0"/>
              </w:rPr>
              <w:t> </w:t>
            </w:r>
          </w:p>
        </w:tc>
        <w:tc>
          <w:tcPr>
            <w:tcW w:w="694" w:type="dxa"/>
            <w:tcBorders/>
            <w:vAlign w:val="center"/>
          </w:tcPr>
          <w:p>
            <w:pPr>
              <w:pStyle w:val="TableContents"/>
              <w:bidi w:val="0"/>
              <w:spacing w:before="0" w:after="0"/>
              <w:jc w:val="right"/>
              <w:rPr>
                <w:b/>
                <w:spacing w:val="0"/>
              </w:rPr>
            </w:pPr>
            <w:r>
              <w:rPr>
                <w:b/>
                <w:spacing w:val="0"/>
              </w:rPr>
              <w:t>42,255</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0"/>
              <w:jc w:val="left"/>
              <w:rPr>
                <w:spacing w:val="0"/>
              </w:rPr>
            </w:pPr>
            <w:r>
              <w:rPr>
                <w:spacing w:val="0"/>
              </w:rPr>
              <w:t> </w:t>
            </w:r>
          </w:p>
        </w:tc>
        <w:tc>
          <w:tcPr>
            <w:tcW w:w="946" w:type="dxa"/>
            <w:tcBorders/>
            <w:vAlign w:val="center"/>
          </w:tcPr>
          <w:p>
            <w:pPr>
              <w:pStyle w:val="TableContents"/>
              <w:bidi w:val="0"/>
              <w:spacing w:before="0" w:after="0"/>
              <w:jc w:val="right"/>
              <w:rPr>
                <w:b/>
                <w:spacing w:val="0"/>
              </w:rPr>
            </w:pPr>
            <w:r>
              <w:rPr>
                <w:b/>
                <w:spacing w:val="0"/>
              </w:rPr>
              <w:t>(30</w:t>
            </w:r>
          </w:p>
        </w:tc>
        <w:tc>
          <w:tcPr>
            <w:tcW w:w="155" w:type="dxa"/>
            <w:tcBorders/>
            <w:vAlign w:val="center"/>
          </w:tcPr>
          <w:p>
            <w:pPr>
              <w:pStyle w:val="TableContents"/>
              <w:bidi w:val="0"/>
              <w:spacing w:before="0" w:after="0"/>
              <w:jc w:val="left"/>
              <w:rPr>
                <w:b/>
                <w:spacing w:val="0"/>
              </w:rPr>
            </w:pPr>
            <w:r>
              <w:rPr>
                <w:b/>
                <w:spacing w:val="0"/>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0"/>
              <w:jc w:val="left"/>
              <w:rPr>
                <w:spacing w:val="0"/>
              </w:rPr>
            </w:pPr>
            <w:r>
              <w:rPr>
                <w:spacing w:val="0"/>
              </w:rPr>
              <w:t> </w:t>
            </w:r>
          </w:p>
        </w:tc>
        <w:tc>
          <w:tcPr>
            <w:tcW w:w="708" w:type="dxa"/>
            <w:tcBorders/>
            <w:vAlign w:val="center"/>
          </w:tcPr>
          <w:p>
            <w:pPr>
              <w:pStyle w:val="TableContents"/>
              <w:bidi w:val="0"/>
              <w:spacing w:before="0" w:after="0"/>
              <w:jc w:val="right"/>
              <w:rPr>
                <w:b/>
                <w:spacing w:val="0"/>
              </w:rPr>
            </w:pPr>
            <w:r>
              <w:rPr>
                <w:b/>
                <w:spacing w:val="0"/>
              </w:rPr>
              <w:t>42,466</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0"/>
              <w:jc w:val="left"/>
              <w:rPr>
                <w:spacing w:val="0"/>
              </w:rPr>
            </w:pPr>
            <w:r>
              <w:rPr>
                <w:spacing w:val="0"/>
              </w:rPr>
              <w:t> </w:t>
            </w:r>
          </w:p>
        </w:tc>
        <w:tc>
          <w:tcPr>
            <w:tcW w:w="1283" w:type="dxa"/>
            <w:tcBorders/>
            <w:vAlign w:val="center"/>
          </w:tcPr>
          <w:p>
            <w:pPr>
              <w:pStyle w:val="TableContents"/>
              <w:bidi w:val="0"/>
              <w:spacing w:before="0" w:after="0"/>
              <w:jc w:val="right"/>
              <w:rPr>
                <w:b/>
                <w:spacing w:val="0"/>
              </w:rPr>
            </w:pPr>
            <w:r>
              <w:rPr>
                <w:b/>
                <w:spacing w:val="0"/>
              </w:rPr>
              <w:t>(253,749</w:t>
            </w:r>
          </w:p>
        </w:tc>
        <w:tc>
          <w:tcPr>
            <w:tcW w:w="155" w:type="dxa"/>
            <w:tcBorders/>
            <w:vAlign w:val="center"/>
          </w:tcPr>
          <w:p>
            <w:pPr>
              <w:pStyle w:val="TableContents"/>
              <w:bidi w:val="0"/>
              <w:spacing w:before="0" w:after="0"/>
              <w:jc w:val="left"/>
              <w:rPr>
                <w:b/>
                <w:spacing w:val="0"/>
              </w:rPr>
            </w:pPr>
            <w:r>
              <w:rPr>
                <w:b/>
                <w:spacing w:val="0"/>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0"/>
              <w:jc w:val="left"/>
              <w:rPr>
                <w:spacing w:val="0"/>
              </w:rPr>
            </w:pPr>
            <w:r>
              <w:rPr>
                <w:spacing w:val="0"/>
              </w:rPr>
              <w:t> </w:t>
            </w:r>
          </w:p>
        </w:tc>
        <w:tc>
          <w:tcPr>
            <w:tcW w:w="1131" w:type="dxa"/>
            <w:tcBorders/>
            <w:vAlign w:val="center"/>
          </w:tcPr>
          <w:p>
            <w:pPr>
              <w:pStyle w:val="TableContents"/>
              <w:bidi w:val="0"/>
              <w:spacing w:before="0" w:after="0"/>
              <w:jc w:val="right"/>
              <w:rPr>
                <w:b/>
                <w:spacing w:val="0"/>
              </w:rPr>
            </w:pPr>
            <w:r>
              <w:rPr>
                <w:b/>
                <w:spacing w:val="0"/>
              </w:rPr>
              <w:t>20,260</w:t>
            </w:r>
          </w:p>
        </w:tc>
        <w:tc>
          <w:tcPr>
            <w:tcW w:w="170" w:type="dxa"/>
            <w:tcBorders/>
            <w:vAlign w:val="center"/>
          </w:tcPr>
          <w:p>
            <w:pPr>
              <w:pStyle w:val="TableContents"/>
              <w:bidi w:val="0"/>
              <w:spacing w:before="0" w:after="0"/>
              <w:jc w:val="left"/>
              <w:rPr>
                <w:spacing w:val="0"/>
              </w:rPr>
            </w:pPr>
            <w:r>
              <w:rPr>
                <w:spacing w:val="0"/>
              </w:rPr>
              <w:t> </w:t>
            </w:r>
          </w:p>
        </w:tc>
      </w:tr>
      <w:tr>
        <w:trPr/>
        <w:tc>
          <w:tcPr>
            <w:tcW w:w="1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8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6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9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4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0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8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3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pacing w:val="0"/>
          <w:sz w:val="20"/>
        </w:rPr>
      </w:pPr>
      <w:r>
        <w:rPr>
          <w:rFonts w:ascii="Times New Roman" w:hAnsi="Times New Roman"/>
          <w:spacing w:val="0"/>
          <w:sz w:val="20"/>
        </w:rPr>
        <w:t xml:space="preserve">The accompanying notes form an integral part of these unaudited condensed consolidated financial statements.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NUCANA PLC </w:t>
      </w: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 xml:space="preserve">UNAUDITED CONDENSED CONSOLIDATED STATEMENTS OF CASH FLOWS </w:t>
      </w:r>
    </w:p>
    <w:p>
      <w:pPr>
        <w:pStyle w:val="TextBody"/>
        <w:bidi w:val="0"/>
        <w:spacing w:before="0" w:after="0"/>
        <w:jc w:val="left"/>
        <w:rPr>
          <w:spacing w:val="0"/>
        </w:rPr>
      </w:pPr>
      <w:r>
        <w:rPr>
          <w:spacing w:val="0"/>
        </w:rPr>
        <w:t> </w:t>
      </w:r>
    </w:p>
    <w:tbl>
      <w:tblPr>
        <w:tblW w:w="10173" w:type="dxa"/>
        <w:jc w:val="left"/>
        <w:tblInd w:w="0" w:type="dxa"/>
        <w:tblLayout w:type="fixed"/>
        <w:tblCellMar>
          <w:top w:w="0" w:type="dxa"/>
          <w:left w:w="0" w:type="dxa"/>
          <w:bottom w:w="0" w:type="dxa"/>
          <w:right w:w="0" w:type="dxa"/>
        </w:tblCellMar>
      </w:tblPr>
      <w:tblGrid>
        <w:gridCol w:w="6155"/>
        <w:gridCol w:w="120"/>
        <w:gridCol w:w="137"/>
        <w:gridCol w:w="1562"/>
        <w:gridCol w:w="238"/>
        <w:gridCol w:w="92"/>
        <w:gridCol w:w="124"/>
        <w:gridCol w:w="1575"/>
        <w:gridCol w:w="170"/>
      </w:tblGrid>
      <w:tr>
        <w:trPr/>
        <w:tc>
          <w:tcPr>
            <w:tcW w:w="6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728" w:type="dxa"/>
            <w:gridSpan w:val="6"/>
            <w:tcBorders/>
            <w:vAlign w:val="center"/>
          </w:tcPr>
          <w:p>
            <w:pPr>
              <w:pStyle w:val="TableContents"/>
              <w:bidi w:val="0"/>
              <w:spacing w:before="0" w:after="0"/>
              <w:jc w:val="center"/>
              <w:rPr>
                <w:b/>
                <w:spacing w:val="0"/>
              </w:rPr>
            </w:pPr>
            <w:r>
              <w:rPr>
                <w:b/>
                <w:spacing w:val="0"/>
              </w:rPr>
              <w:t>For the Six Months Ended</w:t>
              <w:br/>
              <w:t>June 30,</w:t>
            </w:r>
          </w:p>
        </w:tc>
        <w:tc>
          <w:tcPr>
            <w:tcW w:w="170" w:type="dxa"/>
            <w:tcBorders/>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99" w:type="dxa"/>
            <w:gridSpan w:val="2"/>
            <w:tcBorders/>
            <w:vAlign w:val="center"/>
          </w:tcPr>
          <w:p>
            <w:pPr>
              <w:pStyle w:val="TableContents"/>
              <w:bidi w:val="0"/>
              <w:spacing w:before="0" w:after="0"/>
              <w:jc w:val="center"/>
              <w:rPr>
                <w:spacing w:val="0"/>
              </w:rPr>
            </w:pPr>
            <w:r>
              <w:rPr>
                <w:spacing w:val="0"/>
              </w:rPr>
              <w:t>   </w:t>
            </w:r>
            <w:r>
              <w:rPr>
                <w:b/>
                <w:spacing w:val="0"/>
              </w:rPr>
              <w:t>2026   </w:t>
            </w:r>
          </w:p>
        </w:tc>
        <w:tc>
          <w:tcPr>
            <w:tcW w:w="23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699" w:type="dxa"/>
            <w:gridSpan w:val="2"/>
            <w:tcBorders/>
            <w:vAlign w:val="center"/>
          </w:tcPr>
          <w:p>
            <w:pPr>
              <w:pStyle w:val="TableContents"/>
              <w:bidi w:val="0"/>
              <w:spacing w:before="0" w:after="0"/>
              <w:jc w:val="center"/>
              <w:rPr>
                <w:spacing w:val="0"/>
              </w:rPr>
            </w:pPr>
            <w:r>
              <w:rPr>
                <w:spacing w:val="0"/>
              </w:rPr>
              <w:t>   </w:t>
            </w:r>
            <w:r>
              <w:rPr>
                <w:b/>
                <w:spacing w:val="0"/>
              </w:rPr>
              <w:t>2025   </w:t>
            </w:r>
          </w:p>
        </w:tc>
        <w:tc>
          <w:tcPr>
            <w:tcW w:w="170" w:type="dxa"/>
            <w:tcBorders/>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728" w:type="dxa"/>
            <w:gridSpan w:val="6"/>
            <w:tcBorders/>
            <w:vAlign w:val="center"/>
          </w:tcPr>
          <w:p>
            <w:pPr>
              <w:pStyle w:val="TableContents"/>
              <w:bidi w:val="0"/>
              <w:spacing w:before="0" w:after="0"/>
              <w:jc w:val="center"/>
              <w:rPr>
                <w:b/>
                <w:spacing w:val="0"/>
              </w:rPr>
            </w:pPr>
            <w:r>
              <w:rPr>
                <w:b/>
                <w:spacing w:val="0"/>
              </w:rPr>
              <w:t>(in thousands)</w:t>
            </w:r>
          </w:p>
        </w:tc>
        <w:tc>
          <w:tcPr>
            <w:tcW w:w="170" w:type="dxa"/>
            <w:tcBorders/>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99" w:type="dxa"/>
            <w:gridSpan w:val="2"/>
            <w:tcBorders/>
            <w:vAlign w:val="center"/>
          </w:tcPr>
          <w:p>
            <w:pPr>
              <w:pStyle w:val="TableContents"/>
              <w:bidi w:val="0"/>
              <w:spacing w:before="0" w:after="0"/>
              <w:jc w:val="center"/>
              <w:rPr>
                <w:b/>
                <w:spacing w:val="0"/>
              </w:rPr>
            </w:pPr>
            <w:r>
              <w:rPr>
                <w:b/>
                <w:spacing w:val="0"/>
              </w:rPr>
              <w:t>£</w:t>
            </w:r>
          </w:p>
        </w:tc>
        <w:tc>
          <w:tcPr>
            <w:tcW w:w="23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699" w:type="dxa"/>
            <w:gridSpan w:val="2"/>
            <w:tcBorders/>
            <w:vAlign w:val="center"/>
          </w:tcPr>
          <w:p>
            <w:pPr>
              <w:pStyle w:val="TableContents"/>
              <w:bidi w:val="0"/>
              <w:spacing w:before="0" w:after="0"/>
              <w:jc w:val="center"/>
              <w:rPr>
                <w:b/>
                <w:spacing w:val="0"/>
              </w:rPr>
            </w:pPr>
            <w:r>
              <w:rPr>
                <w:b/>
                <w:spacing w:val="0"/>
              </w:rPr>
              <w:t>£</w:t>
            </w:r>
          </w:p>
        </w:tc>
        <w:tc>
          <w:tcPr>
            <w:tcW w:w="170" w:type="dxa"/>
            <w:tcBorders/>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Cash flows from operating activities</w:t>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562" w:type="dxa"/>
            <w:tcBorders/>
            <w:shd w:fill="CCEEFF" w:val="clear"/>
            <w:vAlign w:val="center"/>
          </w:tcPr>
          <w:p>
            <w:pPr>
              <w:pStyle w:val="TableContents"/>
              <w:bidi w:val="0"/>
              <w:spacing w:before="0" w:after="283"/>
              <w:jc w:val="left"/>
              <w:rPr>
                <w:sz w:val="4"/>
                <w:szCs w:val="4"/>
              </w:rPr>
            </w:pPr>
            <w:r>
              <w:rPr>
                <w:sz w:val="4"/>
                <w:szCs w:val="4"/>
              </w:rPr>
            </w:r>
          </w:p>
        </w:tc>
        <w:tc>
          <w:tcPr>
            <w:tcW w:w="238" w:type="dxa"/>
            <w:tcBorders/>
            <w:shd w:fill="CCEEFF" w:val="clear"/>
            <w:vAlign w:val="center"/>
          </w:tcPr>
          <w:p>
            <w:pPr>
              <w:pStyle w:val="TableContents"/>
              <w:bidi w:val="0"/>
              <w:spacing w:before="0" w:after="283"/>
              <w:jc w:val="left"/>
              <w:rPr>
                <w:sz w:val="4"/>
                <w:szCs w:val="4"/>
              </w:rPr>
            </w:pPr>
            <w:r>
              <w:rPr>
                <w:sz w:val="4"/>
                <w:szCs w:val="4"/>
              </w:rPr>
            </w:r>
          </w:p>
        </w:tc>
        <w:tc>
          <w:tcPr>
            <w:tcW w:w="92"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157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1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Loss for the period</w:t>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562" w:type="dxa"/>
            <w:tcBorders/>
            <w:vAlign w:val="center"/>
          </w:tcPr>
          <w:p>
            <w:pPr>
              <w:pStyle w:val="TableContents"/>
              <w:bidi w:val="0"/>
              <w:spacing w:before="0" w:after="283"/>
              <w:jc w:val="right"/>
              <w:rPr/>
            </w:pPr>
            <w:r>
              <w:rPr/>
              <w:t>(6,945</w:t>
            </w:r>
          </w:p>
        </w:tc>
        <w:tc>
          <w:tcPr>
            <w:tcW w:w="23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575" w:type="dxa"/>
            <w:tcBorders/>
            <w:vAlign w:val="center"/>
          </w:tcPr>
          <w:p>
            <w:pPr>
              <w:pStyle w:val="TableContents"/>
              <w:bidi w:val="0"/>
              <w:spacing w:before="0" w:after="283"/>
              <w:jc w:val="right"/>
              <w:rPr/>
            </w:pPr>
            <w:r>
              <w:rPr/>
              <w:t>(26,587</w:t>
            </w:r>
          </w:p>
        </w:tc>
        <w:tc>
          <w:tcPr>
            <w:tcW w:w="170" w:type="dxa"/>
            <w:tcBorders/>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Adjustments for:</w:t>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562" w:type="dxa"/>
            <w:tcBorders/>
            <w:shd w:fill="CCEEFF" w:val="clear"/>
            <w:vAlign w:val="center"/>
          </w:tcPr>
          <w:p>
            <w:pPr>
              <w:pStyle w:val="TableContents"/>
              <w:bidi w:val="0"/>
              <w:spacing w:before="0" w:after="283"/>
              <w:jc w:val="left"/>
              <w:rPr>
                <w:sz w:val="4"/>
                <w:szCs w:val="4"/>
              </w:rPr>
            </w:pPr>
            <w:r>
              <w:rPr>
                <w:sz w:val="4"/>
                <w:szCs w:val="4"/>
              </w:rPr>
            </w:r>
          </w:p>
        </w:tc>
        <w:tc>
          <w:tcPr>
            <w:tcW w:w="238" w:type="dxa"/>
            <w:tcBorders/>
            <w:shd w:fill="CCEEFF" w:val="clear"/>
            <w:vAlign w:val="center"/>
          </w:tcPr>
          <w:p>
            <w:pPr>
              <w:pStyle w:val="TableContents"/>
              <w:bidi w:val="0"/>
              <w:spacing w:before="0" w:after="283"/>
              <w:jc w:val="left"/>
              <w:rPr>
                <w:sz w:val="4"/>
                <w:szCs w:val="4"/>
              </w:rPr>
            </w:pPr>
            <w:r>
              <w:rPr>
                <w:sz w:val="4"/>
                <w:szCs w:val="4"/>
              </w:rPr>
            </w:r>
          </w:p>
        </w:tc>
        <w:tc>
          <w:tcPr>
            <w:tcW w:w="92"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157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1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Income tax credit</w:t>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562" w:type="dxa"/>
            <w:tcBorders/>
            <w:vAlign w:val="center"/>
          </w:tcPr>
          <w:p>
            <w:pPr>
              <w:pStyle w:val="TableContents"/>
              <w:bidi w:val="0"/>
              <w:spacing w:before="0" w:after="283"/>
              <w:jc w:val="right"/>
              <w:rPr/>
            </w:pPr>
            <w:r>
              <w:rPr/>
              <w:t>(743</w:t>
            </w:r>
          </w:p>
        </w:tc>
        <w:tc>
          <w:tcPr>
            <w:tcW w:w="23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575" w:type="dxa"/>
            <w:tcBorders/>
            <w:vAlign w:val="center"/>
          </w:tcPr>
          <w:p>
            <w:pPr>
              <w:pStyle w:val="TableContents"/>
              <w:bidi w:val="0"/>
              <w:spacing w:before="0" w:after="283"/>
              <w:jc w:val="right"/>
              <w:rPr/>
            </w:pPr>
            <w:r>
              <w:rPr/>
              <w:t>(681</w:t>
            </w:r>
          </w:p>
        </w:tc>
        <w:tc>
          <w:tcPr>
            <w:tcW w:w="170" w:type="dxa"/>
            <w:tcBorders/>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Amortization and depreciation</w:t>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562" w:type="dxa"/>
            <w:tcBorders/>
            <w:shd w:fill="CCEEFF" w:val="clear"/>
            <w:vAlign w:val="center"/>
          </w:tcPr>
          <w:p>
            <w:pPr>
              <w:pStyle w:val="TableContents"/>
              <w:bidi w:val="0"/>
              <w:spacing w:before="0" w:after="283"/>
              <w:jc w:val="right"/>
              <w:rPr/>
            </w:pPr>
            <w:r>
              <w:rPr/>
              <w:t>139</w:t>
            </w:r>
          </w:p>
        </w:tc>
        <w:tc>
          <w:tcPr>
            <w:tcW w:w="23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575" w:type="dxa"/>
            <w:tcBorders/>
            <w:shd w:fill="CCEEFF" w:val="clear"/>
            <w:vAlign w:val="center"/>
          </w:tcPr>
          <w:p>
            <w:pPr>
              <w:pStyle w:val="TableContents"/>
              <w:bidi w:val="0"/>
              <w:spacing w:before="0" w:after="283"/>
              <w:jc w:val="right"/>
              <w:rPr/>
            </w:pPr>
            <w:r>
              <w:rPr/>
              <w:t>136</w:t>
            </w:r>
          </w:p>
        </w:tc>
        <w:tc>
          <w:tcPr>
            <w:tcW w:w="170" w:type="dxa"/>
            <w:tcBorders/>
            <w:shd w:fill="CCEEFF" w:val="clear"/>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Movement in provisions</w:t>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562" w:type="dxa"/>
            <w:tcBorders/>
            <w:vAlign w:val="center"/>
          </w:tcPr>
          <w:p>
            <w:pPr>
              <w:pStyle w:val="TableContents"/>
              <w:bidi w:val="0"/>
              <w:spacing w:before="0" w:after="283"/>
              <w:jc w:val="right"/>
              <w:rPr/>
            </w:pPr>
            <w:r>
              <w:rPr/>
              <w:t>— </w:t>
            </w:r>
          </w:p>
        </w:tc>
        <w:tc>
          <w:tcPr>
            <w:tcW w:w="23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575" w:type="dxa"/>
            <w:tcBorders/>
            <w:vAlign w:val="center"/>
          </w:tcPr>
          <w:p>
            <w:pPr>
              <w:pStyle w:val="TableContents"/>
              <w:bidi w:val="0"/>
              <w:spacing w:before="0" w:after="283"/>
              <w:jc w:val="right"/>
              <w:rPr/>
            </w:pPr>
            <w:r>
              <w:rPr/>
              <w:t>(40</w:t>
            </w:r>
          </w:p>
        </w:tc>
        <w:tc>
          <w:tcPr>
            <w:tcW w:w="170" w:type="dxa"/>
            <w:tcBorders/>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Finance income</w:t>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562" w:type="dxa"/>
            <w:tcBorders/>
            <w:shd w:fill="CCEEFF" w:val="clear"/>
            <w:vAlign w:val="center"/>
          </w:tcPr>
          <w:p>
            <w:pPr>
              <w:pStyle w:val="TableContents"/>
              <w:bidi w:val="0"/>
              <w:spacing w:before="0" w:after="283"/>
              <w:jc w:val="right"/>
              <w:rPr/>
            </w:pPr>
            <w:r>
              <w:rPr/>
              <w:t>(277</w:t>
            </w:r>
          </w:p>
        </w:tc>
        <w:tc>
          <w:tcPr>
            <w:tcW w:w="23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575" w:type="dxa"/>
            <w:tcBorders/>
            <w:shd w:fill="CCEEFF" w:val="clear"/>
            <w:vAlign w:val="center"/>
          </w:tcPr>
          <w:p>
            <w:pPr>
              <w:pStyle w:val="TableContents"/>
              <w:bidi w:val="0"/>
              <w:spacing w:before="0" w:after="283"/>
              <w:jc w:val="right"/>
              <w:rPr/>
            </w:pPr>
            <w:r>
              <w:rPr/>
              <w:t>(60</w:t>
            </w:r>
          </w:p>
        </w:tc>
        <w:tc>
          <w:tcPr>
            <w:tcW w:w="170" w:type="dxa"/>
            <w:tcBorders/>
            <w:shd w:fill="CCEEFF" w:val="clear"/>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Finance expense</w:t>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562" w:type="dxa"/>
            <w:tcBorders/>
            <w:vAlign w:val="center"/>
          </w:tcPr>
          <w:p>
            <w:pPr>
              <w:pStyle w:val="TableContents"/>
              <w:bidi w:val="0"/>
              <w:spacing w:before="0" w:after="283"/>
              <w:jc w:val="right"/>
              <w:rPr/>
            </w:pPr>
            <w:r>
              <w:rPr/>
              <w:t>— </w:t>
            </w:r>
          </w:p>
        </w:tc>
        <w:tc>
          <w:tcPr>
            <w:tcW w:w="23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575" w:type="dxa"/>
            <w:tcBorders/>
            <w:vAlign w:val="center"/>
          </w:tcPr>
          <w:p>
            <w:pPr>
              <w:pStyle w:val="TableContents"/>
              <w:bidi w:val="0"/>
              <w:spacing w:before="0" w:after="283"/>
              <w:jc w:val="right"/>
              <w:rPr/>
            </w:pPr>
            <w:r>
              <w:rPr/>
              <w:t>12,648</w:t>
            </w:r>
          </w:p>
        </w:tc>
        <w:tc>
          <w:tcPr>
            <w:tcW w:w="170" w:type="dxa"/>
            <w:tcBorders/>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Interest expense on lease liabilities</w:t>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562" w:type="dxa"/>
            <w:tcBorders/>
            <w:shd w:fill="CCEEFF" w:val="clear"/>
            <w:vAlign w:val="center"/>
          </w:tcPr>
          <w:p>
            <w:pPr>
              <w:pStyle w:val="TableContents"/>
              <w:bidi w:val="0"/>
              <w:spacing w:before="0" w:after="283"/>
              <w:jc w:val="right"/>
              <w:rPr/>
            </w:pPr>
            <w:r>
              <w:rPr/>
              <w:t>25</w:t>
            </w:r>
          </w:p>
        </w:tc>
        <w:tc>
          <w:tcPr>
            <w:tcW w:w="23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575" w:type="dxa"/>
            <w:tcBorders/>
            <w:shd w:fill="CCEEFF" w:val="clear"/>
            <w:vAlign w:val="center"/>
          </w:tcPr>
          <w:p>
            <w:pPr>
              <w:pStyle w:val="TableContents"/>
              <w:bidi w:val="0"/>
              <w:spacing w:before="0" w:after="283"/>
              <w:jc w:val="right"/>
              <w:rPr/>
            </w:pPr>
            <w:r>
              <w:rPr/>
              <w:t>5</w:t>
            </w:r>
          </w:p>
        </w:tc>
        <w:tc>
          <w:tcPr>
            <w:tcW w:w="170" w:type="dxa"/>
            <w:tcBorders/>
            <w:shd w:fill="CCEEFF" w:val="clear"/>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Share-based payments</w:t>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562" w:type="dxa"/>
            <w:tcBorders/>
            <w:vAlign w:val="center"/>
          </w:tcPr>
          <w:p>
            <w:pPr>
              <w:pStyle w:val="TableContents"/>
              <w:bidi w:val="0"/>
              <w:spacing w:before="0" w:after="283"/>
              <w:jc w:val="right"/>
              <w:rPr/>
            </w:pPr>
            <w:r>
              <w:rPr/>
              <w:t>2,794</w:t>
            </w:r>
          </w:p>
        </w:tc>
        <w:tc>
          <w:tcPr>
            <w:tcW w:w="23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575" w:type="dxa"/>
            <w:tcBorders/>
            <w:vAlign w:val="center"/>
          </w:tcPr>
          <w:p>
            <w:pPr>
              <w:pStyle w:val="TableContents"/>
              <w:bidi w:val="0"/>
              <w:spacing w:before="0" w:after="283"/>
              <w:jc w:val="right"/>
              <w:rPr/>
            </w:pPr>
            <w:r>
              <w:rPr/>
              <w:t>8,247</w:t>
            </w:r>
          </w:p>
        </w:tc>
        <w:tc>
          <w:tcPr>
            <w:tcW w:w="170" w:type="dxa"/>
            <w:tcBorders/>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foreign exchange (gains) losses</w:t>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562" w:type="dxa"/>
            <w:tcBorders/>
            <w:shd w:fill="CCEEFF" w:val="clear"/>
            <w:vAlign w:val="center"/>
          </w:tcPr>
          <w:p>
            <w:pPr>
              <w:pStyle w:val="TableContents"/>
              <w:bidi w:val="0"/>
              <w:spacing w:before="0" w:after="283"/>
              <w:jc w:val="right"/>
              <w:rPr/>
            </w:pPr>
            <w:r>
              <w:rPr/>
              <w:t>(269</w:t>
            </w:r>
          </w:p>
        </w:tc>
        <w:tc>
          <w:tcPr>
            <w:tcW w:w="23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575" w:type="dxa"/>
            <w:tcBorders/>
            <w:shd w:fill="CCEEFF" w:val="clear"/>
            <w:vAlign w:val="center"/>
          </w:tcPr>
          <w:p>
            <w:pPr>
              <w:pStyle w:val="TableContents"/>
              <w:bidi w:val="0"/>
              <w:spacing w:before="0" w:after="283"/>
              <w:jc w:val="right"/>
              <w:rPr/>
            </w:pPr>
            <w:r>
              <w:rPr/>
              <w:t>387</w:t>
            </w:r>
          </w:p>
        </w:tc>
        <w:tc>
          <w:tcPr>
            <w:tcW w:w="170" w:type="dxa"/>
            <w:tcBorders/>
            <w:shd w:fill="CCEEFF" w:val="clear"/>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6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3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562" w:type="dxa"/>
            <w:tcBorders/>
            <w:vAlign w:val="center"/>
          </w:tcPr>
          <w:p>
            <w:pPr>
              <w:pStyle w:val="TableContents"/>
              <w:bidi w:val="0"/>
              <w:spacing w:before="0" w:after="283"/>
              <w:jc w:val="right"/>
              <w:rPr/>
            </w:pPr>
            <w:r>
              <w:rPr/>
              <w:t>(5,276</w:t>
            </w:r>
          </w:p>
        </w:tc>
        <w:tc>
          <w:tcPr>
            <w:tcW w:w="23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575" w:type="dxa"/>
            <w:tcBorders/>
            <w:vAlign w:val="center"/>
          </w:tcPr>
          <w:p>
            <w:pPr>
              <w:pStyle w:val="TableContents"/>
              <w:bidi w:val="0"/>
              <w:spacing w:before="0" w:after="283"/>
              <w:jc w:val="right"/>
              <w:rPr/>
            </w:pPr>
            <w:r>
              <w:rPr/>
              <w:t>(5,945</w:t>
            </w:r>
          </w:p>
        </w:tc>
        <w:tc>
          <w:tcPr>
            <w:tcW w:w="170" w:type="dxa"/>
            <w:tcBorders/>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Movements in working capital:</w:t>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562" w:type="dxa"/>
            <w:tcBorders/>
            <w:shd w:fill="CCEEFF" w:val="clear"/>
            <w:vAlign w:val="center"/>
          </w:tcPr>
          <w:p>
            <w:pPr>
              <w:pStyle w:val="TableContents"/>
              <w:bidi w:val="0"/>
              <w:spacing w:before="0" w:after="283"/>
              <w:jc w:val="left"/>
              <w:rPr>
                <w:sz w:val="4"/>
                <w:szCs w:val="4"/>
              </w:rPr>
            </w:pPr>
            <w:r>
              <w:rPr>
                <w:sz w:val="4"/>
                <w:szCs w:val="4"/>
              </w:rPr>
            </w:r>
          </w:p>
        </w:tc>
        <w:tc>
          <w:tcPr>
            <w:tcW w:w="238" w:type="dxa"/>
            <w:tcBorders/>
            <w:shd w:fill="CCEEFF" w:val="clear"/>
            <w:vAlign w:val="center"/>
          </w:tcPr>
          <w:p>
            <w:pPr>
              <w:pStyle w:val="TableContents"/>
              <w:bidi w:val="0"/>
              <w:spacing w:before="0" w:after="283"/>
              <w:jc w:val="left"/>
              <w:rPr>
                <w:sz w:val="4"/>
                <w:szCs w:val="4"/>
              </w:rPr>
            </w:pPr>
            <w:r>
              <w:rPr>
                <w:sz w:val="4"/>
                <w:szCs w:val="4"/>
              </w:rPr>
            </w:r>
          </w:p>
        </w:tc>
        <w:tc>
          <w:tcPr>
            <w:tcW w:w="92"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157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1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Decrease (increase) in prepayments, accrued income and other receivables</w:t>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562" w:type="dxa"/>
            <w:tcBorders/>
            <w:vAlign w:val="center"/>
          </w:tcPr>
          <w:p>
            <w:pPr>
              <w:pStyle w:val="TableContents"/>
              <w:bidi w:val="0"/>
              <w:spacing w:before="0" w:after="283"/>
              <w:jc w:val="right"/>
              <w:rPr/>
            </w:pPr>
            <w:r>
              <w:rPr/>
              <w:t>10</w:t>
            </w:r>
          </w:p>
        </w:tc>
        <w:tc>
          <w:tcPr>
            <w:tcW w:w="23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575" w:type="dxa"/>
            <w:tcBorders/>
            <w:vAlign w:val="center"/>
          </w:tcPr>
          <w:p>
            <w:pPr>
              <w:pStyle w:val="TableContents"/>
              <w:bidi w:val="0"/>
              <w:spacing w:before="0" w:after="283"/>
              <w:jc w:val="right"/>
              <w:rPr/>
            </w:pPr>
            <w:r>
              <w:rPr/>
              <w:t>(113</w:t>
            </w:r>
          </w:p>
        </w:tc>
        <w:tc>
          <w:tcPr>
            <w:tcW w:w="170" w:type="dxa"/>
            <w:tcBorders/>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Decrease in trade payables</w:t>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562" w:type="dxa"/>
            <w:tcBorders/>
            <w:shd w:fill="CCEEFF" w:val="clear"/>
            <w:vAlign w:val="center"/>
          </w:tcPr>
          <w:p>
            <w:pPr>
              <w:pStyle w:val="TableContents"/>
              <w:bidi w:val="0"/>
              <w:spacing w:before="0" w:after="283"/>
              <w:jc w:val="right"/>
              <w:rPr/>
            </w:pPr>
            <w:r>
              <w:rPr/>
              <w:t>(72</w:t>
            </w:r>
          </w:p>
        </w:tc>
        <w:tc>
          <w:tcPr>
            <w:tcW w:w="23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575" w:type="dxa"/>
            <w:tcBorders/>
            <w:shd w:fill="CCEEFF" w:val="clear"/>
            <w:vAlign w:val="center"/>
          </w:tcPr>
          <w:p>
            <w:pPr>
              <w:pStyle w:val="TableContents"/>
              <w:bidi w:val="0"/>
              <w:spacing w:before="0" w:after="283"/>
              <w:jc w:val="right"/>
              <w:rPr/>
            </w:pPr>
            <w:r>
              <w:rPr/>
              <w:t>(1,607</w:t>
            </w:r>
          </w:p>
        </w:tc>
        <w:tc>
          <w:tcPr>
            <w:tcW w:w="170" w:type="dxa"/>
            <w:tcBorders/>
            <w:shd w:fill="CCEEFF" w:val="clear"/>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Increase (decrease) in payroll taxes, social security and accrued expenditure</w:t>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562" w:type="dxa"/>
            <w:tcBorders/>
            <w:vAlign w:val="center"/>
          </w:tcPr>
          <w:p>
            <w:pPr>
              <w:pStyle w:val="TableContents"/>
              <w:bidi w:val="0"/>
              <w:spacing w:before="0" w:after="283"/>
              <w:jc w:val="right"/>
              <w:rPr/>
            </w:pPr>
            <w:r>
              <w:rPr/>
              <w:t>93</w:t>
            </w:r>
          </w:p>
        </w:tc>
        <w:tc>
          <w:tcPr>
            <w:tcW w:w="23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575" w:type="dxa"/>
            <w:tcBorders/>
            <w:vAlign w:val="center"/>
          </w:tcPr>
          <w:p>
            <w:pPr>
              <w:pStyle w:val="TableContents"/>
              <w:bidi w:val="0"/>
              <w:spacing w:before="0" w:after="283"/>
              <w:jc w:val="right"/>
              <w:rPr/>
            </w:pPr>
            <w:r>
              <w:rPr/>
              <w:t>(929</w:t>
            </w:r>
          </w:p>
        </w:tc>
        <w:tc>
          <w:tcPr>
            <w:tcW w:w="170" w:type="dxa"/>
            <w:tcBorders/>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6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3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Movements in working capital</w:t>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562" w:type="dxa"/>
            <w:tcBorders/>
            <w:shd w:fill="CCEEFF" w:val="clear"/>
            <w:vAlign w:val="center"/>
          </w:tcPr>
          <w:p>
            <w:pPr>
              <w:pStyle w:val="TableContents"/>
              <w:bidi w:val="0"/>
              <w:spacing w:before="0" w:after="283"/>
              <w:jc w:val="right"/>
              <w:rPr/>
            </w:pPr>
            <w:r>
              <w:rPr/>
              <w:t>31</w:t>
            </w:r>
          </w:p>
        </w:tc>
        <w:tc>
          <w:tcPr>
            <w:tcW w:w="23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575" w:type="dxa"/>
            <w:tcBorders/>
            <w:shd w:fill="CCEEFF" w:val="clear"/>
            <w:vAlign w:val="center"/>
          </w:tcPr>
          <w:p>
            <w:pPr>
              <w:pStyle w:val="TableContents"/>
              <w:bidi w:val="0"/>
              <w:spacing w:before="0" w:after="283"/>
              <w:jc w:val="right"/>
              <w:rPr/>
            </w:pPr>
            <w:r>
              <w:rPr/>
              <w:t>(2,649</w:t>
            </w:r>
          </w:p>
        </w:tc>
        <w:tc>
          <w:tcPr>
            <w:tcW w:w="170" w:type="dxa"/>
            <w:tcBorders/>
            <w:shd w:fill="CCEEFF" w:val="clear"/>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6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3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Cash used in operations</w:t>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jc w:val="left"/>
              <w:rPr>
                <w:spacing w:val="0"/>
              </w:rPr>
            </w:pPr>
            <w:r>
              <w:rPr>
                <w:spacing w:val="0"/>
              </w:rPr>
              <w:t> </w:t>
            </w:r>
          </w:p>
        </w:tc>
        <w:tc>
          <w:tcPr>
            <w:tcW w:w="1562" w:type="dxa"/>
            <w:tcBorders/>
            <w:vAlign w:val="center"/>
          </w:tcPr>
          <w:p>
            <w:pPr>
              <w:pStyle w:val="TableContents"/>
              <w:bidi w:val="0"/>
              <w:spacing w:before="0" w:after="0"/>
              <w:jc w:val="right"/>
              <w:rPr>
                <w:b/>
                <w:spacing w:val="0"/>
              </w:rPr>
            </w:pPr>
            <w:r>
              <w:rPr>
                <w:b/>
                <w:spacing w:val="0"/>
              </w:rPr>
              <w:t>(5,245</w:t>
            </w:r>
          </w:p>
        </w:tc>
        <w:tc>
          <w:tcPr>
            <w:tcW w:w="238" w:type="dxa"/>
            <w:tcBorders/>
            <w:vAlign w:val="center"/>
          </w:tcPr>
          <w:p>
            <w:pPr>
              <w:pStyle w:val="TableContents"/>
              <w:bidi w:val="0"/>
              <w:spacing w:before="0" w:after="0"/>
              <w:jc w:val="left"/>
              <w:rPr>
                <w:b/>
                <w:spacing w:val="0"/>
              </w:rPr>
            </w:pPr>
            <w:r>
              <w:rPr>
                <w:b/>
                <w:spacing w:val="0"/>
              </w:rPr>
              <w:t>) </w:t>
            </w:r>
          </w:p>
        </w:tc>
        <w:tc>
          <w:tcPr>
            <w:tcW w:w="92"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0"/>
              <w:jc w:val="left"/>
              <w:rPr>
                <w:spacing w:val="0"/>
              </w:rPr>
            </w:pPr>
            <w:r>
              <w:rPr>
                <w:spacing w:val="0"/>
              </w:rPr>
              <w:t> </w:t>
            </w:r>
          </w:p>
        </w:tc>
        <w:tc>
          <w:tcPr>
            <w:tcW w:w="1575" w:type="dxa"/>
            <w:tcBorders/>
            <w:vAlign w:val="center"/>
          </w:tcPr>
          <w:p>
            <w:pPr>
              <w:pStyle w:val="TableContents"/>
              <w:bidi w:val="0"/>
              <w:spacing w:before="0" w:after="0"/>
              <w:jc w:val="right"/>
              <w:rPr>
                <w:b/>
                <w:spacing w:val="0"/>
              </w:rPr>
            </w:pPr>
            <w:r>
              <w:rPr>
                <w:b/>
                <w:spacing w:val="0"/>
              </w:rPr>
              <w:t>(8,594</w:t>
            </w:r>
          </w:p>
        </w:tc>
        <w:tc>
          <w:tcPr>
            <w:tcW w:w="170" w:type="dxa"/>
            <w:tcBorders/>
            <w:vAlign w:val="center"/>
          </w:tcPr>
          <w:p>
            <w:pPr>
              <w:pStyle w:val="TableContents"/>
              <w:bidi w:val="0"/>
              <w:spacing w:before="0" w:after="0"/>
              <w:jc w:val="left"/>
              <w:rPr>
                <w:b/>
                <w:spacing w:val="0"/>
              </w:rPr>
            </w:pPr>
            <w:r>
              <w:rPr>
                <w:b/>
                <w:spacing w:val="0"/>
              </w:rPr>
              <w:t>) </w:t>
            </w:r>
          </w:p>
        </w:tc>
      </w:tr>
      <w:tr>
        <w:trPr/>
        <w:tc>
          <w:tcPr>
            <w:tcW w:w="6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6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3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income tax received</w:t>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562" w:type="dxa"/>
            <w:tcBorders/>
            <w:shd w:fill="CCEEFF" w:val="clear"/>
            <w:vAlign w:val="center"/>
          </w:tcPr>
          <w:p>
            <w:pPr>
              <w:pStyle w:val="TableContents"/>
              <w:bidi w:val="0"/>
              <w:spacing w:before="0" w:after="283"/>
              <w:jc w:val="right"/>
              <w:rPr/>
            </w:pPr>
            <w:r>
              <w:rPr/>
              <w:t>— </w:t>
            </w:r>
          </w:p>
        </w:tc>
        <w:tc>
          <w:tcPr>
            <w:tcW w:w="23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575" w:type="dxa"/>
            <w:tcBorders/>
            <w:shd w:fill="CCEEFF" w:val="clear"/>
            <w:vAlign w:val="center"/>
          </w:tcPr>
          <w:p>
            <w:pPr>
              <w:pStyle w:val="TableContents"/>
              <w:bidi w:val="0"/>
              <w:spacing w:before="0" w:after="283"/>
              <w:jc w:val="right"/>
              <w:rPr/>
            </w:pPr>
            <w:r>
              <w:rPr/>
              <w:t>999</w:t>
            </w:r>
          </w:p>
        </w:tc>
        <w:tc>
          <w:tcPr>
            <w:tcW w:w="170" w:type="dxa"/>
            <w:tcBorders/>
            <w:shd w:fill="CCEEFF" w:val="clear"/>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6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3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Net cash used in operating activities</w:t>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jc w:val="left"/>
              <w:rPr>
                <w:spacing w:val="0"/>
              </w:rPr>
            </w:pPr>
            <w:r>
              <w:rPr>
                <w:spacing w:val="0"/>
              </w:rPr>
              <w:t> </w:t>
            </w:r>
          </w:p>
        </w:tc>
        <w:tc>
          <w:tcPr>
            <w:tcW w:w="1562" w:type="dxa"/>
            <w:tcBorders/>
            <w:vAlign w:val="center"/>
          </w:tcPr>
          <w:p>
            <w:pPr>
              <w:pStyle w:val="TableContents"/>
              <w:bidi w:val="0"/>
              <w:spacing w:before="0" w:after="0"/>
              <w:jc w:val="right"/>
              <w:rPr>
                <w:b/>
                <w:spacing w:val="0"/>
              </w:rPr>
            </w:pPr>
            <w:r>
              <w:rPr>
                <w:b/>
                <w:spacing w:val="0"/>
              </w:rPr>
              <w:t>(5,245</w:t>
            </w:r>
          </w:p>
        </w:tc>
        <w:tc>
          <w:tcPr>
            <w:tcW w:w="238" w:type="dxa"/>
            <w:tcBorders/>
            <w:vAlign w:val="center"/>
          </w:tcPr>
          <w:p>
            <w:pPr>
              <w:pStyle w:val="TableContents"/>
              <w:bidi w:val="0"/>
              <w:spacing w:before="0" w:after="0"/>
              <w:jc w:val="left"/>
              <w:rPr>
                <w:b/>
                <w:spacing w:val="0"/>
              </w:rPr>
            </w:pPr>
            <w:r>
              <w:rPr>
                <w:b/>
                <w:spacing w:val="0"/>
              </w:rPr>
              <w:t>) </w:t>
            </w:r>
          </w:p>
        </w:tc>
        <w:tc>
          <w:tcPr>
            <w:tcW w:w="92"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0"/>
              <w:jc w:val="left"/>
              <w:rPr>
                <w:spacing w:val="0"/>
              </w:rPr>
            </w:pPr>
            <w:r>
              <w:rPr>
                <w:spacing w:val="0"/>
              </w:rPr>
              <w:t> </w:t>
            </w:r>
          </w:p>
        </w:tc>
        <w:tc>
          <w:tcPr>
            <w:tcW w:w="1575" w:type="dxa"/>
            <w:tcBorders/>
            <w:vAlign w:val="center"/>
          </w:tcPr>
          <w:p>
            <w:pPr>
              <w:pStyle w:val="TableContents"/>
              <w:bidi w:val="0"/>
              <w:spacing w:before="0" w:after="0"/>
              <w:jc w:val="right"/>
              <w:rPr>
                <w:b/>
                <w:spacing w:val="0"/>
              </w:rPr>
            </w:pPr>
            <w:r>
              <w:rPr>
                <w:b/>
                <w:spacing w:val="0"/>
              </w:rPr>
              <w:t>(7,595</w:t>
            </w:r>
          </w:p>
        </w:tc>
        <w:tc>
          <w:tcPr>
            <w:tcW w:w="170" w:type="dxa"/>
            <w:tcBorders/>
            <w:vAlign w:val="center"/>
          </w:tcPr>
          <w:p>
            <w:pPr>
              <w:pStyle w:val="TableContents"/>
              <w:bidi w:val="0"/>
              <w:spacing w:before="0" w:after="0"/>
              <w:jc w:val="left"/>
              <w:rPr>
                <w:b/>
                <w:spacing w:val="0"/>
              </w:rPr>
            </w:pPr>
            <w:r>
              <w:rPr>
                <w:b/>
                <w:spacing w:val="0"/>
              </w:rPr>
              <w:t>) </w:t>
            </w:r>
          </w:p>
        </w:tc>
      </w:tr>
      <w:tr>
        <w:trPr/>
        <w:tc>
          <w:tcPr>
            <w:tcW w:w="6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6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3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Cash flows from investing activities</w:t>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562" w:type="dxa"/>
            <w:tcBorders/>
            <w:shd w:fill="CCEEFF" w:val="clear"/>
            <w:vAlign w:val="center"/>
          </w:tcPr>
          <w:p>
            <w:pPr>
              <w:pStyle w:val="TableContents"/>
              <w:bidi w:val="0"/>
              <w:spacing w:before="0" w:after="283"/>
              <w:jc w:val="left"/>
              <w:rPr>
                <w:sz w:val="4"/>
                <w:szCs w:val="4"/>
              </w:rPr>
            </w:pPr>
            <w:r>
              <w:rPr>
                <w:sz w:val="4"/>
                <w:szCs w:val="4"/>
              </w:rPr>
            </w:r>
          </w:p>
        </w:tc>
        <w:tc>
          <w:tcPr>
            <w:tcW w:w="238" w:type="dxa"/>
            <w:tcBorders/>
            <w:shd w:fill="CCEEFF" w:val="clear"/>
            <w:vAlign w:val="center"/>
          </w:tcPr>
          <w:p>
            <w:pPr>
              <w:pStyle w:val="TableContents"/>
              <w:bidi w:val="0"/>
              <w:spacing w:before="0" w:after="283"/>
              <w:jc w:val="left"/>
              <w:rPr>
                <w:sz w:val="4"/>
                <w:szCs w:val="4"/>
              </w:rPr>
            </w:pPr>
            <w:r>
              <w:rPr>
                <w:sz w:val="4"/>
                <w:szCs w:val="4"/>
              </w:rPr>
            </w:r>
          </w:p>
        </w:tc>
        <w:tc>
          <w:tcPr>
            <w:tcW w:w="92"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157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1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Interest received</w:t>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562" w:type="dxa"/>
            <w:tcBorders/>
            <w:vAlign w:val="center"/>
          </w:tcPr>
          <w:p>
            <w:pPr>
              <w:pStyle w:val="TableContents"/>
              <w:bidi w:val="0"/>
              <w:spacing w:before="0" w:after="283"/>
              <w:jc w:val="right"/>
              <w:rPr/>
            </w:pPr>
            <w:r>
              <w:rPr/>
              <w:t>286</w:t>
            </w:r>
          </w:p>
        </w:tc>
        <w:tc>
          <w:tcPr>
            <w:tcW w:w="23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575" w:type="dxa"/>
            <w:tcBorders/>
            <w:vAlign w:val="center"/>
          </w:tcPr>
          <w:p>
            <w:pPr>
              <w:pStyle w:val="TableContents"/>
              <w:bidi w:val="0"/>
              <w:spacing w:before="0" w:after="283"/>
              <w:jc w:val="right"/>
              <w:rPr/>
            </w:pPr>
            <w:r>
              <w:rPr/>
              <w:t>57</w:t>
            </w:r>
          </w:p>
        </w:tc>
        <w:tc>
          <w:tcPr>
            <w:tcW w:w="170" w:type="dxa"/>
            <w:tcBorders/>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Payments for intangible assets</w:t>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562" w:type="dxa"/>
            <w:tcBorders/>
            <w:shd w:fill="CCEEFF" w:val="clear"/>
            <w:vAlign w:val="center"/>
          </w:tcPr>
          <w:p>
            <w:pPr>
              <w:pStyle w:val="TableContents"/>
              <w:bidi w:val="0"/>
              <w:spacing w:before="0" w:after="283"/>
              <w:jc w:val="right"/>
              <w:rPr/>
            </w:pPr>
            <w:r>
              <w:rPr/>
              <w:t>(111</w:t>
            </w:r>
          </w:p>
        </w:tc>
        <w:tc>
          <w:tcPr>
            <w:tcW w:w="23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575" w:type="dxa"/>
            <w:tcBorders/>
            <w:shd w:fill="CCEEFF" w:val="clear"/>
            <w:vAlign w:val="center"/>
          </w:tcPr>
          <w:p>
            <w:pPr>
              <w:pStyle w:val="TableContents"/>
              <w:bidi w:val="0"/>
              <w:spacing w:before="0" w:after="283"/>
              <w:jc w:val="right"/>
              <w:rPr/>
            </w:pPr>
            <w:r>
              <w:rPr/>
              <w:t>(96</w:t>
            </w:r>
          </w:p>
        </w:tc>
        <w:tc>
          <w:tcPr>
            <w:tcW w:w="170" w:type="dxa"/>
            <w:tcBorders/>
            <w:shd w:fill="CCEEFF" w:val="clear"/>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6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3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Net cash from (used in) investing activities</w:t>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jc w:val="left"/>
              <w:rPr>
                <w:spacing w:val="0"/>
              </w:rPr>
            </w:pPr>
            <w:r>
              <w:rPr>
                <w:spacing w:val="0"/>
              </w:rPr>
              <w:t> </w:t>
            </w:r>
          </w:p>
        </w:tc>
        <w:tc>
          <w:tcPr>
            <w:tcW w:w="1562" w:type="dxa"/>
            <w:tcBorders/>
            <w:vAlign w:val="center"/>
          </w:tcPr>
          <w:p>
            <w:pPr>
              <w:pStyle w:val="TableContents"/>
              <w:bidi w:val="0"/>
              <w:spacing w:before="0" w:after="0"/>
              <w:jc w:val="right"/>
              <w:rPr>
                <w:b/>
                <w:spacing w:val="0"/>
              </w:rPr>
            </w:pPr>
            <w:r>
              <w:rPr>
                <w:b/>
                <w:spacing w:val="0"/>
              </w:rPr>
              <w:t>175</w:t>
            </w:r>
          </w:p>
        </w:tc>
        <w:tc>
          <w:tcPr>
            <w:tcW w:w="238" w:type="dxa"/>
            <w:tcBorders/>
            <w:vAlign w:val="center"/>
          </w:tcPr>
          <w:p>
            <w:pPr>
              <w:pStyle w:val="TableContents"/>
              <w:bidi w:val="0"/>
              <w:spacing w:before="0" w:after="0"/>
              <w:jc w:val="left"/>
              <w:rPr>
                <w:spacing w:val="0"/>
              </w:rPr>
            </w:pPr>
            <w:r>
              <w:rPr>
                <w:spacing w:val="0"/>
              </w:rPr>
              <w:t> </w:t>
            </w:r>
          </w:p>
        </w:tc>
        <w:tc>
          <w:tcPr>
            <w:tcW w:w="92"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0"/>
              <w:jc w:val="left"/>
              <w:rPr>
                <w:spacing w:val="0"/>
              </w:rPr>
            </w:pPr>
            <w:r>
              <w:rPr>
                <w:spacing w:val="0"/>
              </w:rPr>
              <w:t> </w:t>
            </w:r>
          </w:p>
        </w:tc>
        <w:tc>
          <w:tcPr>
            <w:tcW w:w="1575" w:type="dxa"/>
            <w:tcBorders/>
            <w:vAlign w:val="center"/>
          </w:tcPr>
          <w:p>
            <w:pPr>
              <w:pStyle w:val="TableContents"/>
              <w:bidi w:val="0"/>
              <w:spacing w:before="0" w:after="0"/>
              <w:jc w:val="right"/>
              <w:rPr>
                <w:b/>
                <w:spacing w:val="0"/>
              </w:rPr>
            </w:pPr>
            <w:r>
              <w:rPr>
                <w:b/>
                <w:spacing w:val="0"/>
              </w:rPr>
              <w:t>(39</w:t>
            </w:r>
          </w:p>
        </w:tc>
        <w:tc>
          <w:tcPr>
            <w:tcW w:w="170" w:type="dxa"/>
            <w:tcBorders/>
            <w:vAlign w:val="center"/>
          </w:tcPr>
          <w:p>
            <w:pPr>
              <w:pStyle w:val="TableContents"/>
              <w:bidi w:val="0"/>
              <w:spacing w:before="0" w:after="0"/>
              <w:jc w:val="left"/>
              <w:rPr>
                <w:b/>
                <w:spacing w:val="0"/>
              </w:rPr>
            </w:pPr>
            <w:r>
              <w:rPr>
                <w:b/>
                <w:spacing w:val="0"/>
              </w:rPr>
              <w:t>) </w:t>
            </w:r>
          </w:p>
        </w:tc>
      </w:tr>
      <w:tr>
        <w:trPr/>
        <w:tc>
          <w:tcPr>
            <w:tcW w:w="6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6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3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Cash flows from financing activities</w:t>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562" w:type="dxa"/>
            <w:tcBorders/>
            <w:shd w:fill="CCEEFF" w:val="clear"/>
            <w:vAlign w:val="center"/>
          </w:tcPr>
          <w:p>
            <w:pPr>
              <w:pStyle w:val="TableContents"/>
              <w:bidi w:val="0"/>
              <w:spacing w:before="0" w:after="283"/>
              <w:jc w:val="left"/>
              <w:rPr>
                <w:sz w:val="4"/>
                <w:szCs w:val="4"/>
              </w:rPr>
            </w:pPr>
            <w:r>
              <w:rPr>
                <w:sz w:val="4"/>
                <w:szCs w:val="4"/>
              </w:rPr>
            </w:r>
          </w:p>
        </w:tc>
        <w:tc>
          <w:tcPr>
            <w:tcW w:w="238" w:type="dxa"/>
            <w:tcBorders/>
            <w:shd w:fill="CCEEFF" w:val="clear"/>
            <w:vAlign w:val="center"/>
          </w:tcPr>
          <w:p>
            <w:pPr>
              <w:pStyle w:val="TableContents"/>
              <w:bidi w:val="0"/>
              <w:spacing w:before="0" w:after="283"/>
              <w:jc w:val="left"/>
              <w:rPr>
                <w:sz w:val="4"/>
                <w:szCs w:val="4"/>
              </w:rPr>
            </w:pPr>
            <w:r>
              <w:rPr>
                <w:sz w:val="4"/>
                <w:szCs w:val="4"/>
              </w:rPr>
            </w:r>
          </w:p>
        </w:tc>
        <w:tc>
          <w:tcPr>
            <w:tcW w:w="92"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157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1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Payments for lease liabilities</w:t>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562" w:type="dxa"/>
            <w:tcBorders/>
            <w:vAlign w:val="center"/>
          </w:tcPr>
          <w:p>
            <w:pPr>
              <w:pStyle w:val="TableContents"/>
              <w:bidi w:val="0"/>
              <w:spacing w:before="0" w:after="283"/>
              <w:jc w:val="right"/>
              <w:rPr/>
            </w:pPr>
            <w:r>
              <w:rPr/>
              <w:t>(27</w:t>
            </w:r>
          </w:p>
        </w:tc>
        <w:tc>
          <w:tcPr>
            <w:tcW w:w="23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575" w:type="dxa"/>
            <w:tcBorders/>
            <w:vAlign w:val="center"/>
          </w:tcPr>
          <w:p>
            <w:pPr>
              <w:pStyle w:val="TableContents"/>
              <w:bidi w:val="0"/>
              <w:spacing w:before="0" w:after="283"/>
              <w:jc w:val="right"/>
              <w:rPr/>
            </w:pPr>
            <w:r>
              <w:rPr/>
              <w:t>(41</w:t>
            </w:r>
          </w:p>
        </w:tc>
        <w:tc>
          <w:tcPr>
            <w:tcW w:w="170" w:type="dxa"/>
            <w:tcBorders/>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Proceeds from exercise of share options</w:t>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562" w:type="dxa"/>
            <w:tcBorders/>
            <w:shd w:fill="CCEEFF" w:val="clear"/>
            <w:vAlign w:val="center"/>
          </w:tcPr>
          <w:p>
            <w:pPr>
              <w:pStyle w:val="TableContents"/>
              <w:bidi w:val="0"/>
              <w:spacing w:before="0" w:after="283"/>
              <w:jc w:val="right"/>
              <w:rPr/>
            </w:pPr>
            <w:r>
              <w:rPr/>
              <w:t>— </w:t>
            </w:r>
          </w:p>
        </w:tc>
        <w:tc>
          <w:tcPr>
            <w:tcW w:w="23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575" w:type="dxa"/>
            <w:tcBorders/>
            <w:shd w:fill="CCEEFF" w:val="clear"/>
            <w:vAlign w:val="center"/>
          </w:tcPr>
          <w:p>
            <w:pPr>
              <w:pStyle w:val="TableContents"/>
              <w:bidi w:val="0"/>
              <w:spacing w:before="0" w:after="283"/>
              <w:jc w:val="right"/>
              <w:rPr/>
            </w:pPr>
            <w:r>
              <w:rPr/>
              <w:t>1</w:t>
            </w:r>
          </w:p>
        </w:tc>
        <w:tc>
          <w:tcPr>
            <w:tcW w:w="170" w:type="dxa"/>
            <w:tcBorders/>
            <w:shd w:fill="CCEEFF" w:val="clear"/>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Proceeds from issue of share capital</w:t>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562" w:type="dxa"/>
            <w:tcBorders/>
            <w:vAlign w:val="center"/>
          </w:tcPr>
          <w:p>
            <w:pPr>
              <w:pStyle w:val="TableContents"/>
              <w:bidi w:val="0"/>
              <w:spacing w:before="0" w:after="283"/>
              <w:jc w:val="right"/>
              <w:rPr/>
            </w:pPr>
            <w:r>
              <w:rPr/>
              <w:t>206</w:t>
            </w:r>
          </w:p>
        </w:tc>
        <w:tc>
          <w:tcPr>
            <w:tcW w:w="23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575" w:type="dxa"/>
            <w:tcBorders/>
            <w:vAlign w:val="center"/>
          </w:tcPr>
          <w:p>
            <w:pPr>
              <w:pStyle w:val="TableContents"/>
              <w:bidi w:val="0"/>
              <w:spacing w:before="0" w:after="283"/>
              <w:jc w:val="right"/>
              <w:rPr/>
            </w:pPr>
            <w:r>
              <w:rPr/>
              <w:t>1,222</w:t>
            </w:r>
          </w:p>
        </w:tc>
        <w:tc>
          <w:tcPr>
            <w:tcW w:w="170" w:type="dxa"/>
            <w:tcBorders/>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Proceeds from exercise of warrants</w:t>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562" w:type="dxa"/>
            <w:tcBorders/>
            <w:shd w:fill="CCEEFF" w:val="clear"/>
            <w:vAlign w:val="center"/>
          </w:tcPr>
          <w:p>
            <w:pPr>
              <w:pStyle w:val="TableContents"/>
              <w:bidi w:val="0"/>
              <w:spacing w:before="0" w:after="283"/>
              <w:jc w:val="right"/>
              <w:rPr/>
            </w:pPr>
            <w:r>
              <w:rPr/>
              <w:t>— </w:t>
            </w:r>
          </w:p>
        </w:tc>
        <w:tc>
          <w:tcPr>
            <w:tcW w:w="23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575" w:type="dxa"/>
            <w:tcBorders/>
            <w:shd w:fill="CCEEFF" w:val="clear"/>
            <w:vAlign w:val="center"/>
          </w:tcPr>
          <w:p>
            <w:pPr>
              <w:pStyle w:val="TableContents"/>
              <w:bidi w:val="0"/>
              <w:spacing w:before="0" w:after="283"/>
              <w:jc w:val="right"/>
              <w:rPr/>
            </w:pPr>
            <w:r>
              <w:rPr/>
              <w:t>4,436</w:t>
            </w:r>
          </w:p>
        </w:tc>
        <w:tc>
          <w:tcPr>
            <w:tcW w:w="170" w:type="dxa"/>
            <w:tcBorders/>
            <w:shd w:fill="CCEEFF" w:val="clear"/>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Proceeds from issue of warrants</w:t>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562" w:type="dxa"/>
            <w:tcBorders/>
            <w:vAlign w:val="center"/>
          </w:tcPr>
          <w:p>
            <w:pPr>
              <w:pStyle w:val="TableContents"/>
              <w:bidi w:val="0"/>
              <w:spacing w:before="0" w:after="283"/>
              <w:jc w:val="right"/>
              <w:rPr/>
            </w:pPr>
            <w:r>
              <w:rPr/>
              <w:t>— </w:t>
            </w:r>
          </w:p>
        </w:tc>
        <w:tc>
          <w:tcPr>
            <w:tcW w:w="23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575" w:type="dxa"/>
            <w:tcBorders/>
            <w:vAlign w:val="center"/>
          </w:tcPr>
          <w:p>
            <w:pPr>
              <w:pStyle w:val="TableContents"/>
              <w:bidi w:val="0"/>
              <w:spacing w:before="0" w:after="283"/>
              <w:jc w:val="right"/>
              <w:rPr/>
            </w:pPr>
            <w:r>
              <w:rPr/>
              <w:t>4,439</w:t>
            </w:r>
          </w:p>
        </w:tc>
        <w:tc>
          <w:tcPr>
            <w:tcW w:w="170" w:type="dxa"/>
            <w:tcBorders/>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Share issue expenses</w:t>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562" w:type="dxa"/>
            <w:tcBorders/>
            <w:shd w:fill="CCEEFF" w:val="clear"/>
            <w:vAlign w:val="center"/>
          </w:tcPr>
          <w:p>
            <w:pPr>
              <w:pStyle w:val="TableContents"/>
              <w:bidi w:val="0"/>
              <w:spacing w:before="0" w:after="283"/>
              <w:jc w:val="right"/>
              <w:rPr/>
            </w:pPr>
            <w:r>
              <w:rPr/>
              <w:t>(135</w:t>
            </w:r>
          </w:p>
        </w:tc>
        <w:tc>
          <w:tcPr>
            <w:tcW w:w="23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575" w:type="dxa"/>
            <w:tcBorders/>
            <w:shd w:fill="CCEEFF" w:val="clear"/>
            <w:vAlign w:val="center"/>
          </w:tcPr>
          <w:p>
            <w:pPr>
              <w:pStyle w:val="TableContents"/>
              <w:bidi w:val="0"/>
              <w:spacing w:before="0" w:after="283"/>
              <w:jc w:val="right"/>
              <w:rPr/>
            </w:pPr>
            <w:r>
              <w:rPr/>
              <w:t>(296</w:t>
            </w:r>
          </w:p>
        </w:tc>
        <w:tc>
          <w:tcPr>
            <w:tcW w:w="170" w:type="dxa"/>
            <w:tcBorders/>
            <w:shd w:fill="CCEEFF" w:val="clear"/>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6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3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Net cash from financing activities</w:t>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jc w:val="left"/>
              <w:rPr>
                <w:spacing w:val="0"/>
              </w:rPr>
            </w:pPr>
            <w:r>
              <w:rPr>
                <w:spacing w:val="0"/>
              </w:rPr>
              <w:t> </w:t>
            </w:r>
          </w:p>
        </w:tc>
        <w:tc>
          <w:tcPr>
            <w:tcW w:w="1562" w:type="dxa"/>
            <w:tcBorders/>
            <w:vAlign w:val="center"/>
          </w:tcPr>
          <w:p>
            <w:pPr>
              <w:pStyle w:val="TableContents"/>
              <w:bidi w:val="0"/>
              <w:spacing w:before="0" w:after="0"/>
              <w:jc w:val="right"/>
              <w:rPr>
                <w:b/>
                <w:spacing w:val="0"/>
              </w:rPr>
            </w:pPr>
            <w:r>
              <w:rPr>
                <w:b/>
                <w:spacing w:val="0"/>
              </w:rPr>
              <w:t>44</w:t>
            </w:r>
          </w:p>
        </w:tc>
        <w:tc>
          <w:tcPr>
            <w:tcW w:w="238" w:type="dxa"/>
            <w:tcBorders/>
            <w:vAlign w:val="center"/>
          </w:tcPr>
          <w:p>
            <w:pPr>
              <w:pStyle w:val="TableContents"/>
              <w:bidi w:val="0"/>
              <w:spacing w:before="0" w:after="0"/>
              <w:jc w:val="left"/>
              <w:rPr>
                <w:spacing w:val="0"/>
              </w:rPr>
            </w:pPr>
            <w:r>
              <w:rPr>
                <w:spacing w:val="0"/>
              </w:rPr>
              <w:t> </w:t>
            </w:r>
          </w:p>
        </w:tc>
        <w:tc>
          <w:tcPr>
            <w:tcW w:w="92"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0"/>
              <w:jc w:val="left"/>
              <w:rPr>
                <w:spacing w:val="0"/>
              </w:rPr>
            </w:pPr>
            <w:r>
              <w:rPr>
                <w:spacing w:val="0"/>
              </w:rPr>
              <w:t> </w:t>
            </w:r>
          </w:p>
        </w:tc>
        <w:tc>
          <w:tcPr>
            <w:tcW w:w="1575" w:type="dxa"/>
            <w:tcBorders/>
            <w:vAlign w:val="center"/>
          </w:tcPr>
          <w:p>
            <w:pPr>
              <w:pStyle w:val="TableContents"/>
              <w:bidi w:val="0"/>
              <w:spacing w:before="0" w:after="0"/>
              <w:jc w:val="right"/>
              <w:rPr>
                <w:b/>
                <w:spacing w:val="0"/>
              </w:rPr>
            </w:pPr>
            <w:r>
              <w:rPr>
                <w:b/>
                <w:spacing w:val="0"/>
              </w:rPr>
              <w:t>9,761</w:t>
            </w:r>
          </w:p>
        </w:tc>
        <w:tc>
          <w:tcPr>
            <w:tcW w:w="170" w:type="dxa"/>
            <w:tcBorders/>
            <w:vAlign w:val="center"/>
          </w:tcPr>
          <w:p>
            <w:pPr>
              <w:pStyle w:val="TableContents"/>
              <w:bidi w:val="0"/>
              <w:spacing w:before="0" w:after="0"/>
              <w:jc w:val="left"/>
              <w:rPr>
                <w:spacing w:val="0"/>
              </w:rPr>
            </w:pPr>
            <w:r>
              <w:rPr>
                <w:spacing w:val="0"/>
              </w:rPr>
              <w:t> </w:t>
            </w:r>
          </w:p>
        </w:tc>
      </w:tr>
      <w:tr>
        <w:trPr/>
        <w:tc>
          <w:tcPr>
            <w:tcW w:w="6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6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3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(decrease) increase in cash and cash equivalents</w:t>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562" w:type="dxa"/>
            <w:tcBorders/>
            <w:shd w:fill="CCEEFF" w:val="clear"/>
            <w:vAlign w:val="center"/>
          </w:tcPr>
          <w:p>
            <w:pPr>
              <w:pStyle w:val="TableContents"/>
              <w:bidi w:val="0"/>
              <w:spacing w:before="0" w:after="283"/>
              <w:jc w:val="right"/>
              <w:rPr/>
            </w:pPr>
            <w:r>
              <w:rPr/>
              <w:t>(5,026</w:t>
            </w:r>
          </w:p>
        </w:tc>
        <w:tc>
          <w:tcPr>
            <w:tcW w:w="23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575" w:type="dxa"/>
            <w:tcBorders/>
            <w:shd w:fill="CCEEFF" w:val="clear"/>
            <w:vAlign w:val="center"/>
          </w:tcPr>
          <w:p>
            <w:pPr>
              <w:pStyle w:val="TableContents"/>
              <w:bidi w:val="0"/>
              <w:spacing w:before="0" w:after="283"/>
              <w:jc w:val="right"/>
              <w:rPr/>
            </w:pPr>
            <w:r>
              <w:rPr/>
              <w:t>2,127</w:t>
            </w:r>
          </w:p>
        </w:tc>
        <w:tc>
          <w:tcPr>
            <w:tcW w:w="170" w:type="dxa"/>
            <w:tcBorders/>
            <w:shd w:fill="CCEEFF" w:val="clear"/>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Cash and cash equivalents at beginning of period</w:t>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jc w:val="left"/>
              <w:rPr>
                <w:spacing w:val="0"/>
              </w:rPr>
            </w:pPr>
            <w:r>
              <w:rPr>
                <w:spacing w:val="0"/>
              </w:rPr>
              <w:t> </w:t>
            </w:r>
          </w:p>
        </w:tc>
        <w:tc>
          <w:tcPr>
            <w:tcW w:w="1562" w:type="dxa"/>
            <w:tcBorders/>
            <w:vAlign w:val="center"/>
          </w:tcPr>
          <w:p>
            <w:pPr>
              <w:pStyle w:val="TableContents"/>
              <w:bidi w:val="0"/>
              <w:spacing w:before="0" w:after="0"/>
              <w:jc w:val="right"/>
              <w:rPr>
                <w:b/>
                <w:spacing w:val="0"/>
              </w:rPr>
            </w:pPr>
            <w:r>
              <w:rPr>
                <w:b/>
                <w:spacing w:val="0"/>
              </w:rPr>
              <w:t>24,251</w:t>
            </w:r>
          </w:p>
        </w:tc>
        <w:tc>
          <w:tcPr>
            <w:tcW w:w="238" w:type="dxa"/>
            <w:tcBorders/>
            <w:vAlign w:val="center"/>
          </w:tcPr>
          <w:p>
            <w:pPr>
              <w:pStyle w:val="TableContents"/>
              <w:bidi w:val="0"/>
              <w:spacing w:before="0" w:after="0"/>
              <w:jc w:val="left"/>
              <w:rPr>
                <w:spacing w:val="0"/>
              </w:rPr>
            </w:pPr>
            <w:r>
              <w:rPr>
                <w:spacing w:val="0"/>
              </w:rPr>
              <w:t> </w:t>
            </w:r>
          </w:p>
        </w:tc>
        <w:tc>
          <w:tcPr>
            <w:tcW w:w="92"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0"/>
              <w:jc w:val="left"/>
              <w:rPr>
                <w:spacing w:val="0"/>
              </w:rPr>
            </w:pPr>
            <w:r>
              <w:rPr>
                <w:spacing w:val="0"/>
              </w:rPr>
              <w:t> </w:t>
            </w:r>
          </w:p>
        </w:tc>
        <w:tc>
          <w:tcPr>
            <w:tcW w:w="1575" w:type="dxa"/>
            <w:tcBorders/>
            <w:vAlign w:val="center"/>
          </w:tcPr>
          <w:p>
            <w:pPr>
              <w:pStyle w:val="TableContents"/>
              <w:bidi w:val="0"/>
              <w:spacing w:before="0" w:after="0"/>
              <w:jc w:val="right"/>
              <w:rPr>
                <w:b/>
                <w:spacing w:val="0"/>
              </w:rPr>
            </w:pPr>
            <w:r>
              <w:rPr>
                <w:b/>
                <w:spacing w:val="0"/>
              </w:rPr>
              <w:t>6,749</w:t>
            </w:r>
          </w:p>
        </w:tc>
        <w:tc>
          <w:tcPr>
            <w:tcW w:w="170" w:type="dxa"/>
            <w:tcBorders/>
            <w:vAlign w:val="center"/>
          </w:tcPr>
          <w:p>
            <w:pPr>
              <w:pStyle w:val="TableContents"/>
              <w:bidi w:val="0"/>
              <w:spacing w:before="0" w:after="0"/>
              <w:jc w:val="left"/>
              <w:rPr>
                <w:spacing w:val="0"/>
              </w:rPr>
            </w:pPr>
            <w:r>
              <w:rPr>
                <w:spacing w:val="0"/>
              </w:rPr>
              <w:t> </w:t>
            </w:r>
          </w:p>
        </w:tc>
      </w:tr>
      <w:tr>
        <w:trPr/>
        <w:tc>
          <w:tcPr>
            <w:tcW w:w="6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6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3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Effect of exchange rate changes on cash and cash equivalents</w:t>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562" w:type="dxa"/>
            <w:tcBorders/>
            <w:shd w:fill="CCEEFF" w:val="clear"/>
            <w:vAlign w:val="center"/>
          </w:tcPr>
          <w:p>
            <w:pPr>
              <w:pStyle w:val="TableContents"/>
              <w:bidi w:val="0"/>
              <w:spacing w:before="0" w:after="283"/>
              <w:jc w:val="right"/>
              <w:rPr/>
            </w:pPr>
            <w:r>
              <w:rPr/>
              <w:t>278</w:t>
            </w:r>
          </w:p>
        </w:tc>
        <w:tc>
          <w:tcPr>
            <w:tcW w:w="23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575" w:type="dxa"/>
            <w:tcBorders/>
            <w:shd w:fill="CCEEFF" w:val="clear"/>
            <w:vAlign w:val="center"/>
          </w:tcPr>
          <w:p>
            <w:pPr>
              <w:pStyle w:val="TableContents"/>
              <w:bidi w:val="0"/>
              <w:spacing w:before="0" w:after="283"/>
              <w:jc w:val="right"/>
              <w:rPr/>
            </w:pPr>
            <w:r>
              <w:rPr/>
              <w:t>(433</w:t>
            </w:r>
          </w:p>
        </w:tc>
        <w:tc>
          <w:tcPr>
            <w:tcW w:w="170" w:type="dxa"/>
            <w:tcBorders/>
            <w:shd w:fill="CCEEFF" w:val="clear"/>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6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3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Cash and cash equivalents at end of period</w:t>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jc w:val="left"/>
              <w:rPr>
                <w:spacing w:val="0"/>
              </w:rPr>
            </w:pPr>
            <w:r>
              <w:rPr>
                <w:spacing w:val="0"/>
              </w:rPr>
              <w:t> </w:t>
            </w:r>
          </w:p>
        </w:tc>
        <w:tc>
          <w:tcPr>
            <w:tcW w:w="1562" w:type="dxa"/>
            <w:tcBorders/>
            <w:vAlign w:val="center"/>
          </w:tcPr>
          <w:p>
            <w:pPr>
              <w:pStyle w:val="TableContents"/>
              <w:bidi w:val="0"/>
              <w:spacing w:before="0" w:after="0"/>
              <w:jc w:val="right"/>
              <w:rPr>
                <w:b/>
                <w:spacing w:val="0"/>
              </w:rPr>
            </w:pPr>
            <w:r>
              <w:rPr>
                <w:b/>
                <w:spacing w:val="0"/>
              </w:rPr>
              <w:t>19,503</w:t>
            </w:r>
          </w:p>
        </w:tc>
        <w:tc>
          <w:tcPr>
            <w:tcW w:w="238" w:type="dxa"/>
            <w:tcBorders/>
            <w:vAlign w:val="center"/>
          </w:tcPr>
          <w:p>
            <w:pPr>
              <w:pStyle w:val="TableContents"/>
              <w:bidi w:val="0"/>
              <w:spacing w:before="0" w:after="0"/>
              <w:jc w:val="left"/>
              <w:rPr>
                <w:spacing w:val="0"/>
              </w:rPr>
            </w:pPr>
            <w:r>
              <w:rPr>
                <w:spacing w:val="0"/>
              </w:rPr>
              <w:t> </w:t>
            </w:r>
          </w:p>
        </w:tc>
        <w:tc>
          <w:tcPr>
            <w:tcW w:w="92"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0"/>
              <w:jc w:val="left"/>
              <w:rPr>
                <w:spacing w:val="0"/>
              </w:rPr>
            </w:pPr>
            <w:r>
              <w:rPr>
                <w:spacing w:val="0"/>
              </w:rPr>
              <w:t> </w:t>
            </w:r>
          </w:p>
        </w:tc>
        <w:tc>
          <w:tcPr>
            <w:tcW w:w="1575" w:type="dxa"/>
            <w:tcBorders/>
            <w:vAlign w:val="center"/>
          </w:tcPr>
          <w:p>
            <w:pPr>
              <w:pStyle w:val="TableContents"/>
              <w:bidi w:val="0"/>
              <w:spacing w:before="0" w:after="0"/>
              <w:jc w:val="right"/>
              <w:rPr>
                <w:b/>
                <w:spacing w:val="0"/>
              </w:rPr>
            </w:pPr>
            <w:r>
              <w:rPr>
                <w:b/>
                <w:spacing w:val="0"/>
              </w:rPr>
              <w:t>8,443</w:t>
            </w:r>
          </w:p>
        </w:tc>
        <w:tc>
          <w:tcPr>
            <w:tcW w:w="170" w:type="dxa"/>
            <w:tcBorders/>
            <w:vAlign w:val="center"/>
          </w:tcPr>
          <w:p>
            <w:pPr>
              <w:pStyle w:val="TableContents"/>
              <w:bidi w:val="0"/>
              <w:spacing w:before="0" w:after="0"/>
              <w:jc w:val="left"/>
              <w:rPr>
                <w:spacing w:val="0"/>
              </w:rPr>
            </w:pPr>
            <w:r>
              <w:rPr>
                <w:spacing w:val="0"/>
              </w:rPr>
              <w:t> </w:t>
            </w:r>
          </w:p>
        </w:tc>
      </w:tr>
      <w:tr>
        <w:trPr/>
        <w:tc>
          <w:tcPr>
            <w:tcW w:w="6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6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3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pacing w:val="0"/>
          <w:sz w:val="20"/>
        </w:rPr>
      </w:pPr>
      <w:r>
        <w:rPr>
          <w:rFonts w:ascii="Times New Roman" w:hAnsi="Times New Roman"/>
          <w:spacing w:val="0"/>
          <w:sz w:val="20"/>
        </w:rPr>
        <w:t xml:space="preserve">The accompanying notes form an integral part of these unaudited condensed consolidated financial statements.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NUCANA PLC </w:t>
      </w: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 xml:space="preserve">NOTES TO THE UNAUDITED CONDENSED CONSOLIDATED FINANCIAL STATEMENTS </w:t>
      </w:r>
    </w:p>
    <w:p>
      <w:pPr>
        <w:pStyle w:val="TextBody"/>
        <w:bidi w:val="0"/>
        <w:spacing w:before="240" w:after="0"/>
        <w:jc w:val="left"/>
        <w:rPr>
          <w:rFonts w:ascii="Times New Roman" w:hAnsi="Times New Roman"/>
          <w:b/>
          <w:spacing w:val="0"/>
          <w:sz w:val="20"/>
        </w:rPr>
      </w:pPr>
      <w:r>
        <w:rPr>
          <w:rFonts w:ascii="Times New Roman" w:hAnsi="Times New Roman"/>
          <w:b/>
          <w:spacing w:val="0"/>
          <w:sz w:val="20"/>
        </w:rPr>
        <w:t xml:space="preserve">1. General information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NuCana plc (“NuCana” or the “Company”) is a clinical-stage biopharmaceutical company developing a portfolio of new medicines to treat patients with cancer. NuCana is harnessing the power of phosphoramidate chemistry to generate new medicines called ProTides. These compounds have the potential to improve cancer treatment by enhancing the efficacy and safety of several current standards of care. </w:t>
      </w:r>
    </w:p>
    <w:p>
      <w:pPr>
        <w:pStyle w:val="TextBody"/>
        <w:bidi w:val="0"/>
        <w:spacing w:before="120" w:after="0"/>
        <w:jc w:val="left"/>
        <w:rPr>
          <w:rFonts w:ascii="Times New Roman" w:hAnsi="Times New Roman"/>
          <w:spacing w:val="0"/>
          <w:sz w:val="20"/>
        </w:rPr>
      </w:pPr>
      <w:r>
        <w:rPr>
          <w:rFonts w:ascii="Times New Roman" w:hAnsi="Times New Roman"/>
          <w:spacing w:val="0"/>
          <w:sz w:val="20"/>
        </w:rPr>
        <w:t>The Company has had American Deposit</w:t>
      </w:r>
    </w:p>
    <w:p>
      <w:pPr>
        <w:pStyle w:val="TextBody"/>
        <w:bidi w:val="0"/>
        <w:spacing w:before="120" w:after="0"/>
        <w:jc w:val="left"/>
        <w:rPr>
          <w:rFonts w:ascii="Times New Roman" w:hAnsi="Times New Roman"/>
          <w:spacing w:val="0"/>
          <w:sz w:val="20"/>
        </w:rPr>
      </w:pPr>
      <w:r>
        <w:rPr>
          <w:rFonts w:ascii="Times New Roman" w:hAnsi="Times New Roman"/>
          <w:spacing w:val="0"/>
          <w:sz w:val="20"/>
        </w:rPr>
        <w:t>a</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ry Shares (“ADSs”) registered with the US Securities and Exchange Commission (“SEC”) and has been listed on Nasdaq since October 2, 2017. From November 9, 2023 the Company transferred its listing to The Nasdaq Capital Market. On April 16, 2024, the Company effected a ratio change of its ADSs to its ordinary shares from one ADS representing one ordinary share, to one ADS representing 25 ordinary shares. On August 11, 2025, the Company effected a ratio change of its ADSs to its ordinary shares from one ADS representing 25 ordinary shares, to one ADS representing 5,000 ordinary shares.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is incorporated in England and Wales and domiciled in the United Kingdom. The Company’s registered office is located at 77/78 Cannon Street, London EC4N 6AF, United Kingdom and its principal place of business is located at 3 Lochside Way, Edinburgh, EH12 9DT, United Kingdom.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has three wholly owned subsidiaries, NuCana, Inc., NuCana Limited and NuCana BioMed Trustee Company Limited (together referred to as the “Group”).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financial information presented in these unaudited condensed consolidated financial statements does not constitute the Group’s statutory accounts within the meaning of section 434 of the U.K. Companies Act 2006.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Group’s statutory accounts for the year ended December 31, 2025 have been reported on by the Company’s auditor, and delivered to the Registrar of Companies. The report of the auditor was (i) unqualified and (ii) did not include a reference to any matters to which the auditors drew attention by way of emphasis without qualifying their report.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2. Material accounting policies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Basis of preparation </w:t>
      </w:r>
    </w:p>
    <w:p>
      <w:pPr>
        <w:pStyle w:val="TextBody"/>
        <w:bidi w:val="0"/>
        <w:spacing w:before="120" w:after="0"/>
        <w:jc w:val="left"/>
        <w:rPr>
          <w:rFonts w:ascii="Times New Roman" w:hAnsi="Times New Roman"/>
          <w:sz w:val="20"/>
        </w:rPr>
      </w:pPr>
      <w:r>
        <w:rPr>
          <w:rFonts w:ascii="Times New Roman" w:hAnsi="Times New Roman"/>
          <w:sz w:val="20"/>
        </w:rPr>
        <w:t>The unaudited condensed consolidated financial statements (the “financial statements”) for the six months ended June 30, 2026 have been prepared in accordance with International Accounting Standard 34,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Interim Financial Reporting”</w:t>
      </w:r>
    </w:p>
    <w:p>
      <w:pPr>
        <w:pStyle w:val="TextBody"/>
        <w:bidi w:val="0"/>
        <w:spacing w:before="120" w:after="0"/>
        <w:jc w:val="left"/>
        <w:rPr>
          <w:rFonts w:ascii="Times New Roman" w:hAnsi="Times New Roman"/>
          <w:sz w:val="20"/>
        </w:rPr>
      </w:pPr>
      <w:r>
        <w:rPr>
          <w:rFonts w:ascii="Times New Roman" w:hAnsi="Times New Roman"/>
          <w:sz w:val="20"/>
        </w:rPr>
        <w:t xml:space="preserve">(“IAS 34”). The material accounting policies and methods of computation applied in the preparation of the financial statements are consistent with those applied in the Company’s annual financial statements for the year ended December 31, 2025.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No new standards, amendments or interpretations have had an impact on the financial statements for the six months ended June 30, 2026. The financial statements comprise the financial statements of the Group at June 30, 2026. The financial statements are presented in pounds sterling, which is also the Company’s functional currency. All values are rounded to the nearest thousand, except where otherwise indicated.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financial statements do not include all the information and disclosures required in the annual financial statements, and should be read in conjunction with the Company’s annual financial statements for the year ended December 31, 2025.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In the opinion of management, these unaudited condensed consolidated financial statements include all normal recurring adjustments necessary for a fair statement of the results of operations, financial position and cash flows. The results of operations for the six months ended June 30, 2026 are not necessarily indicative of the results that can be expected for the Company’s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fiscal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year ending December 31, 2026.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Going concern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Company’s consolidated financial statements have been presented on the basis that it is a going concern. The Company has not generated any revenues from operations to date and does not expect to in the foreseeable future. As such, the Company has incurred recurring net losses, has an accumulated deficit totaling £253.7 million and cash flows used in operating activities of £5.2 million as of and for the six months ended June 30, 2026. The Company had £19.5 million of cash and cash equivalents at June 30, 2026.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reviewing the going concern assessment the Company’s board of directors have considered a going concern period of 12 months from the issuance of these financial statements. Based on its current operating budgets and development plans, the Company’s cash and cash equivalents on hand will be sufficient to fund its anticipated operations for the entirety of the going concern assessment period. The board of directors is therefore satisfied that it is appropriate to adopt the going concern basis of accounting in preparing the financial statements. </w:t>
      </w:r>
    </w:p>
    <w:p>
      <w:pPr>
        <w:pStyle w:val="TextBody"/>
        <w:bidi w:val="0"/>
        <w:spacing w:before="120" w:after="0"/>
        <w:jc w:val="left"/>
        <w:rPr>
          <w:rFonts w:ascii="Times New Roman" w:hAnsi="Times New Roman"/>
          <w:sz w:val="20"/>
        </w:rPr>
      </w:pPr>
      <w:r>
        <w:rPr>
          <w:rFonts w:ascii="Times New Roman" w:hAnsi="Times New Roman"/>
          <w:sz w:val="20"/>
        </w:rPr>
        <w:t>As the Company continues to incur losses, the transition to profitability is dependent upon the successful development, approval and commercialization of its product candidates and achieving a level of revenues adequate to support its cost structure. The Company may never achieve profitability, and unless and until it does, it will continue to need additional capital beyond the going concern assessment period. The Company may also need to raise additional funds if it chooses to expand its current development program. There can be no assurances, however, that additional funding will be available on acceptable terms</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Judgements and estimates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accounting estimates and judgements made by management in applying the Group’s accounting policies that have the most material effect on the amounts included within these financial statements were the same as those that applied to the annual financial statements for the year ended December 31, 2025.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3. Finance expense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3386"/>
        <w:gridCol w:w="120"/>
        <w:gridCol w:w="198"/>
        <w:gridCol w:w="1165"/>
        <w:gridCol w:w="105"/>
        <w:gridCol w:w="210"/>
        <w:gridCol w:w="105"/>
        <w:gridCol w:w="1328"/>
        <w:gridCol w:w="155"/>
        <w:gridCol w:w="120"/>
        <w:gridCol w:w="218"/>
        <w:gridCol w:w="1144"/>
        <w:gridCol w:w="103"/>
        <w:gridCol w:w="206"/>
        <w:gridCol w:w="107"/>
        <w:gridCol w:w="1359"/>
        <w:gridCol w:w="176"/>
      </w:tblGrid>
      <w:tr>
        <w:trPr/>
        <w:tc>
          <w:tcPr>
            <w:tcW w:w="338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386"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11" w:type="dxa"/>
            <w:gridSpan w:val="6"/>
            <w:tcBorders/>
            <w:vAlign w:val="center"/>
          </w:tcPr>
          <w:p>
            <w:pPr>
              <w:pStyle w:val="TableContents"/>
              <w:bidi w:val="0"/>
              <w:spacing w:before="0" w:after="0"/>
              <w:jc w:val="center"/>
              <w:rPr>
                <w:b/>
                <w:spacing w:val="0"/>
              </w:rPr>
            </w:pPr>
            <w:r>
              <w:rPr>
                <w:b/>
                <w:spacing w:val="0"/>
              </w:rPr>
              <w:t>For the Three Months Ended</w:t>
            </w:r>
          </w:p>
          <w:p>
            <w:pPr>
              <w:pStyle w:val="TableContents"/>
              <w:bidi w:val="0"/>
              <w:spacing w:before="0" w:after="0"/>
              <w:jc w:val="center"/>
              <w:rPr/>
            </w:pPr>
            <w:r>
              <w:rPr/>
            </w:r>
          </w:p>
          <w:p>
            <w:pPr>
              <w:pStyle w:val="TableContents"/>
              <w:bidi w:val="0"/>
              <w:spacing w:before="0" w:after="0"/>
              <w:jc w:val="center"/>
              <w:rPr>
                <w:b/>
                <w:spacing w:val="0"/>
              </w:rPr>
            </w:pPr>
            <w:r>
              <w:rPr>
                <w:b/>
                <w:spacing w:val="0"/>
              </w:rPr>
              <w:t>June 30,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37" w:type="dxa"/>
            <w:gridSpan w:val="6"/>
            <w:tcBorders/>
            <w:vAlign w:val="center"/>
          </w:tcPr>
          <w:p>
            <w:pPr>
              <w:pStyle w:val="TableContents"/>
              <w:bidi w:val="0"/>
              <w:spacing w:before="0" w:after="0"/>
              <w:jc w:val="center"/>
              <w:rPr>
                <w:b/>
                <w:spacing w:val="0"/>
              </w:rPr>
            </w:pPr>
            <w:r>
              <w:rPr>
                <w:b/>
                <w:spacing w:val="0"/>
              </w:rPr>
              <w:t>For the Six Months Ended</w:t>
              <w:br/>
              <w:t>June 30,</w:t>
            </w:r>
          </w:p>
        </w:tc>
        <w:tc>
          <w:tcPr>
            <w:tcW w:w="176" w:type="dxa"/>
            <w:tcBorders/>
            <w:vAlign w:val="center"/>
          </w:tcPr>
          <w:p>
            <w:pPr>
              <w:pStyle w:val="TableContents"/>
              <w:bidi w:val="0"/>
              <w:spacing w:before="0" w:after="283"/>
              <w:jc w:val="left"/>
              <w:rPr/>
            </w:pPr>
            <w:r>
              <w:rPr/>
              <w:t> </w:t>
            </w:r>
          </w:p>
        </w:tc>
      </w:tr>
      <w:tr>
        <w:trPr/>
        <w:tc>
          <w:tcPr>
            <w:tcW w:w="3386"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63" w:type="dxa"/>
            <w:gridSpan w:val="2"/>
            <w:tcBorders/>
            <w:vAlign w:val="center"/>
          </w:tcPr>
          <w:p>
            <w:pPr>
              <w:pStyle w:val="TableContents"/>
              <w:bidi w:val="0"/>
              <w:spacing w:before="0" w:after="0"/>
              <w:jc w:val="center"/>
              <w:rPr>
                <w:spacing w:val="0"/>
              </w:rPr>
            </w:pPr>
            <w:r>
              <w:rPr>
                <w:spacing w:val="0"/>
              </w:rPr>
              <w:t>   </w:t>
            </w:r>
            <w:r>
              <w:rPr>
                <w:b/>
                <w:spacing w:val="0"/>
              </w:rPr>
              <w:t>2026   </w:t>
            </w:r>
          </w:p>
        </w:tc>
        <w:tc>
          <w:tcPr>
            <w:tcW w:w="105"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433" w:type="dxa"/>
            <w:gridSpan w:val="2"/>
            <w:tcBorders/>
            <w:vAlign w:val="center"/>
          </w:tcPr>
          <w:p>
            <w:pPr>
              <w:pStyle w:val="TableContents"/>
              <w:bidi w:val="0"/>
              <w:spacing w:before="0" w:after="0"/>
              <w:jc w:val="center"/>
              <w:rPr>
                <w:spacing w:val="0"/>
              </w:rPr>
            </w:pPr>
            <w:r>
              <w:rPr>
                <w:spacing w:val="0"/>
              </w:rPr>
              <w:t>   </w:t>
            </w:r>
            <w:r>
              <w:rPr>
                <w:b/>
                <w:spacing w:val="0"/>
              </w:rPr>
              <w:t>2025   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62" w:type="dxa"/>
            <w:gridSpan w:val="2"/>
            <w:tcBorders/>
            <w:vAlign w:val="center"/>
          </w:tcPr>
          <w:p>
            <w:pPr>
              <w:pStyle w:val="TableContents"/>
              <w:bidi w:val="0"/>
              <w:spacing w:before="0" w:after="0"/>
              <w:jc w:val="center"/>
              <w:rPr>
                <w:spacing w:val="0"/>
              </w:rPr>
            </w:pPr>
            <w:r>
              <w:rPr>
                <w:spacing w:val="0"/>
              </w:rPr>
              <w:t>   </w:t>
            </w:r>
            <w:r>
              <w:rPr>
                <w:b/>
                <w:spacing w:val="0"/>
              </w:rPr>
              <w:t>2026   </w:t>
            </w:r>
          </w:p>
        </w:tc>
        <w:tc>
          <w:tcPr>
            <w:tcW w:w="103"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1466" w:type="dxa"/>
            <w:gridSpan w:val="2"/>
            <w:tcBorders/>
            <w:vAlign w:val="center"/>
          </w:tcPr>
          <w:p>
            <w:pPr>
              <w:pStyle w:val="TableContents"/>
              <w:bidi w:val="0"/>
              <w:spacing w:before="0" w:after="0"/>
              <w:jc w:val="center"/>
              <w:rPr>
                <w:spacing w:val="0"/>
              </w:rPr>
            </w:pPr>
            <w:r>
              <w:rPr>
                <w:spacing w:val="0"/>
              </w:rPr>
              <w:t>   </w:t>
            </w:r>
            <w:r>
              <w:rPr>
                <w:b/>
                <w:spacing w:val="0"/>
              </w:rPr>
              <w:t>2025   </w:t>
            </w:r>
          </w:p>
        </w:tc>
        <w:tc>
          <w:tcPr>
            <w:tcW w:w="176" w:type="dxa"/>
            <w:tcBorders/>
            <w:vAlign w:val="center"/>
          </w:tcPr>
          <w:p>
            <w:pPr>
              <w:pStyle w:val="TableContents"/>
              <w:bidi w:val="0"/>
              <w:spacing w:before="0" w:after="283"/>
              <w:jc w:val="left"/>
              <w:rPr/>
            </w:pPr>
            <w:r>
              <w:rPr/>
              <w:t> </w:t>
            </w:r>
          </w:p>
        </w:tc>
      </w:tr>
      <w:tr>
        <w:trPr/>
        <w:tc>
          <w:tcPr>
            <w:tcW w:w="3386"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23" w:type="dxa"/>
            <w:gridSpan w:val="14"/>
            <w:tcBorders/>
            <w:vAlign w:val="center"/>
          </w:tcPr>
          <w:p>
            <w:pPr>
              <w:pStyle w:val="TableContents"/>
              <w:bidi w:val="0"/>
              <w:spacing w:before="0" w:after="0"/>
              <w:jc w:val="center"/>
              <w:rPr>
                <w:b/>
                <w:spacing w:val="0"/>
              </w:rPr>
            </w:pPr>
            <w:r>
              <w:rPr>
                <w:b/>
                <w:spacing w:val="0"/>
              </w:rPr>
              <w:t>(in thousands)</w:t>
            </w:r>
          </w:p>
        </w:tc>
        <w:tc>
          <w:tcPr>
            <w:tcW w:w="176" w:type="dxa"/>
            <w:tcBorders/>
            <w:vAlign w:val="center"/>
          </w:tcPr>
          <w:p>
            <w:pPr>
              <w:pStyle w:val="TableContents"/>
              <w:bidi w:val="0"/>
              <w:spacing w:before="0" w:after="283"/>
              <w:jc w:val="left"/>
              <w:rPr/>
            </w:pPr>
            <w:r>
              <w:rPr/>
              <w:t> </w:t>
            </w:r>
          </w:p>
        </w:tc>
      </w:tr>
      <w:tr>
        <w:trPr/>
        <w:tc>
          <w:tcPr>
            <w:tcW w:w="3386"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63" w:type="dxa"/>
            <w:gridSpan w:val="2"/>
            <w:tcBorders/>
            <w:vAlign w:val="center"/>
          </w:tcPr>
          <w:p>
            <w:pPr>
              <w:pStyle w:val="TableContents"/>
              <w:bidi w:val="0"/>
              <w:spacing w:before="0" w:after="0"/>
              <w:jc w:val="center"/>
              <w:rPr>
                <w:b/>
                <w:spacing w:val="0"/>
              </w:rPr>
            </w:pPr>
            <w:r>
              <w:rPr>
                <w:b/>
                <w:spacing w:val="0"/>
              </w:rPr>
              <w:t>£</w:t>
            </w:r>
          </w:p>
        </w:tc>
        <w:tc>
          <w:tcPr>
            <w:tcW w:w="105"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433" w:type="dxa"/>
            <w:gridSpan w:val="2"/>
            <w:tcBorders/>
            <w:vAlign w:val="center"/>
          </w:tcPr>
          <w:p>
            <w:pPr>
              <w:pStyle w:val="TableContents"/>
              <w:bidi w:val="0"/>
              <w:spacing w:before="0" w:after="0"/>
              <w:jc w:val="center"/>
              <w:rPr>
                <w:b/>
                <w:spacing w:val="0"/>
              </w:rPr>
            </w:pPr>
            <w:r>
              <w:rPr>
                <w:b/>
                <w:spacing w:val="0"/>
              </w:rPr>
              <w:t>£</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62" w:type="dxa"/>
            <w:gridSpan w:val="2"/>
            <w:tcBorders/>
            <w:vAlign w:val="center"/>
          </w:tcPr>
          <w:p>
            <w:pPr>
              <w:pStyle w:val="TableContents"/>
              <w:bidi w:val="0"/>
              <w:spacing w:before="0" w:after="0"/>
              <w:jc w:val="center"/>
              <w:rPr>
                <w:b/>
                <w:spacing w:val="0"/>
              </w:rPr>
            </w:pPr>
            <w:r>
              <w:rPr>
                <w:b/>
                <w:spacing w:val="0"/>
              </w:rPr>
              <w:t>£</w:t>
            </w:r>
          </w:p>
        </w:tc>
        <w:tc>
          <w:tcPr>
            <w:tcW w:w="103"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1466" w:type="dxa"/>
            <w:gridSpan w:val="2"/>
            <w:tcBorders/>
            <w:vAlign w:val="center"/>
          </w:tcPr>
          <w:p>
            <w:pPr>
              <w:pStyle w:val="TableContents"/>
              <w:bidi w:val="0"/>
              <w:spacing w:before="0" w:after="0"/>
              <w:jc w:val="center"/>
              <w:rPr>
                <w:b/>
                <w:spacing w:val="0"/>
              </w:rPr>
            </w:pPr>
            <w:r>
              <w:rPr>
                <w:b/>
                <w:spacing w:val="0"/>
              </w:rPr>
              <w:t>£</w:t>
            </w:r>
          </w:p>
        </w:tc>
        <w:tc>
          <w:tcPr>
            <w:tcW w:w="176" w:type="dxa"/>
            <w:tcBorders/>
            <w:vAlign w:val="center"/>
          </w:tcPr>
          <w:p>
            <w:pPr>
              <w:pStyle w:val="TableContents"/>
              <w:bidi w:val="0"/>
              <w:spacing w:before="0" w:after="283"/>
              <w:jc w:val="left"/>
              <w:rPr/>
            </w:pPr>
            <w:r>
              <w:rPr/>
              <w:t> </w:t>
            </w:r>
          </w:p>
        </w:tc>
      </w:tr>
      <w:tr>
        <w:trPr/>
        <w:tc>
          <w:tcPr>
            <w:tcW w:w="3386"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Revaluation loss from derivative financial instruments</w:t>
            </w:r>
          </w:p>
        </w:tc>
        <w:tc>
          <w:tcPr>
            <w:tcW w:w="12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(12,648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(12,648</w:t>
            </w:r>
          </w:p>
        </w:tc>
        <w:tc>
          <w:tcPr>
            <w:tcW w:w="176" w:type="dxa"/>
            <w:tcBorders/>
            <w:shd w:fill="CCEEFF" w:val="clear"/>
            <w:vAlign w:val="center"/>
          </w:tcPr>
          <w:p>
            <w:pPr>
              <w:pStyle w:val="TableContents"/>
              <w:bidi w:val="0"/>
              <w:spacing w:before="0" w:after="283"/>
              <w:jc w:val="left"/>
              <w:rPr/>
            </w:pPr>
            <w:r>
              <w:rPr/>
              <w:t>) </w:t>
            </w:r>
          </w:p>
        </w:tc>
      </w:tr>
      <w:tr>
        <w:trPr/>
        <w:tc>
          <w:tcPr>
            <w:tcW w:w="338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6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5"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2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4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3"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6"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non-cash</w:t>
      </w:r>
    </w:p>
    <w:p>
      <w:pPr>
        <w:pStyle w:val="TextBody"/>
        <w:bidi w:val="0"/>
        <w:spacing w:before="120" w:after="0"/>
        <w:jc w:val="left"/>
        <w:rPr>
          <w:rFonts w:ascii="Times New Roman" w:hAnsi="Times New Roman"/>
          <w:sz w:val="20"/>
        </w:rPr>
      </w:pPr>
      <w:r>
        <w:rPr>
          <w:rFonts w:ascii="Times New Roman" w:hAnsi="Times New Roman"/>
          <w:sz w:val="20"/>
        </w:rPr>
        <w:t xml:space="preserve">revaluation loss from derivative financial instruments of £12.6 million for the six months ended June 30, 2025 related to the fair value remeasurement of Series A and Series B warrants.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4. Income tax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2450"/>
        <w:gridCol w:w="120"/>
        <w:gridCol w:w="224"/>
        <w:gridCol w:w="1380"/>
        <w:gridCol w:w="160"/>
        <w:gridCol w:w="321"/>
        <w:gridCol w:w="224"/>
        <w:gridCol w:w="1380"/>
        <w:gridCol w:w="60"/>
        <w:gridCol w:w="120"/>
        <w:gridCol w:w="219"/>
        <w:gridCol w:w="1400"/>
        <w:gridCol w:w="149"/>
        <w:gridCol w:w="299"/>
        <w:gridCol w:w="219"/>
        <w:gridCol w:w="1400"/>
        <w:gridCol w:w="80"/>
      </w:tblGrid>
      <w:tr>
        <w:trPr/>
        <w:tc>
          <w:tcPr>
            <w:tcW w:w="24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r>
      <w:tr>
        <w:trPr/>
        <w:tc>
          <w:tcPr>
            <w:tcW w:w="24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689" w:type="dxa"/>
            <w:gridSpan w:val="6"/>
            <w:tcBorders/>
            <w:vAlign w:val="center"/>
          </w:tcPr>
          <w:p>
            <w:pPr>
              <w:pStyle w:val="TableContents"/>
              <w:bidi w:val="0"/>
              <w:spacing w:before="0" w:after="0"/>
              <w:jc w:val="center"/>
              <w:rPr>
                <w:b/>
                <w:spacing w:val="0"/>
              </w:rPr>
            </w:pPr>
            <w:r>
              <w:rPr>
                <w:b/>
                <w:spacing w:val="0"/>
              </w:rPr>
              <w:t>For the Three Months Ended</w:t>
            </w:r>
          </w:p>
          <w:p>
            <w:pPr>
              <w:pStyle w:val="TableContents"/>
              <w:bidi w:val="0"/>
              <w:spacing w:before="0" w:after="0"/>
              <w:jc w:val="center"/>
              <w:rPr/>
            </w:pPr>
            <w:r>
              <w:rPr/>
            </w:r>
          </w:p>
          <w:p>
            <w:pPr>
              <w:pStyle w:val="TableContents"/>
              <w:bidi w:val="0"/>
              <w:spacing w:before="0" w:after="0"/>
              <w:jc w:val="center"/>
              <w:rPr>
                <w:b/>
                <w:spacing w:val="0"/>
              </w:rPr>
            </w:pPr>
            <w:r>
              <w:rPr>
                <w:b/>
                <w:spacing w:val="0"/>
              </w:rPr>
              <w:t>June 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686" w:type="dxa"/>
            <w:gridSpan w:val="6"/>
            <w:tcBorders/>
            <w:vAlign w:val="center"/>
          </w:tcPr>
          <w:p>
            <w:pPr>
              <w:pStyle w:val="TableContents"/>
              <w:bidi w:val="0"/>
              <w:spacing w:before="0" w:after="0"/>
              <w:jc w:val="center"/>
              <w:rPr>
                <w:b/>
                <w:spacing w:val="0"/>
              </w:rPr>
            </w:pPr>
            <w:r>
              <w:rPr>
                <w:b/>
                <w:spacing w:val="0"/>
              </w:rPr>
              <w:t>For the Six Months Ended</w:t>
              <w:br/>
              <w:t>June 30,</w:t>
            </w:r>
          </w:p>
        </w:tc>
        <w:tc>
          <w:tcPr>
            <w:tcW w:w="80"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4" w:type="dxa"/>
            <w:gridSpan w:val="2"/>
            <w:tcBorders/>
            <w:vAlign w:val="center"/>
          </w:tcPr>
          <w:p>
            <w:pPr>
              <w:pStyle w:val="TableContents"/>
              <w:bidi w:val="0"/>
              <w:spacing w:before="0" w:after="0"/>
              <w:jc w:val="center"/>
              <w:rPr>
                <w:spacing w:val="0"/>
              </w:rPr>
            </w:pPr>
            <w:r>
              <w:rPr>
                <w:spacing w:val="0"/>
              </w:rPr>
              <w:t>   </w:t>
            </w:r>
            <w:r>
              <w:rPr>
                <w:b/>
                <w:spacing w:val="0"/>
              </w:rPr>
              <w:t>2026   </w:t>
            </w:r>
          </w:p>
        </w:tc>
        <w:tc>
          <w:tcPr>
            <w:tcW w:w="1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1604" w:type="dxa"/>
            <w:gridSpan w:val="2"/>
            <w:tcBorders/>
            <w:vAlign w:val="center"/>
          </w:tcPr>
          <w:p>
            <w:pPr>
              <w:pStyle w:val="TableContents"/>
              <w:bidi w:val="0"/>
              <w:spacing w:before="0" w:after="0"/>
              <w:jc w:val="center"/>
              <w:rPr>
                <w:spacing w:val="0"/>
              </w:rPr>
            </w:pPr>
            <w:r>
              <w:rPr>
                <w:spacing w:val="0"/>
              </w:rPr>
              <w:t>   </w:t>
            </w:r>
            <w:r>
              <w:rPr>
                <w:b/>
                <w:spacing w:val="0"/>
              </w:rPr>
              <w:t>2025   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9" w:type="dxa"/>
            <w:gridSpan w:val="2"/>
            <w:tcBorders/>
            <w:vAlign w:val="center"/>
          </w:tcPr>
          <w:p>
            <w:pPr>
              <w:pStyle w:val="TableContents"/>
              <w:bidi w:val="0"/>
              <w:spacing w:before="0" w:after="0"/>
              <w:jc w:val="center"/>
              <w:rPr>
                <w:spacing w:val="0"/>
              </w:rPr>
            </w:pPr>
            <w:r>
              <w:rPr>
                <w:spacing w:val="0"/>
              </w:rPr>
              <w:t>   </w:t>
            </w:r>
            <w:r>
              <w:rPr>
                <w:b/>
                <w:spacing w:val="0"/>
              </w:rPr>
              <w:t>2026   </w:t>
            </w:r>
          </w:p>
        </w:tc>
        <w:tc>
          <w:tcPr>
            <w:tcW w:w="149"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1619" w:type="dxa"/>
            <w:gridSpan w:val="2"/>
            <w:tcBorders/>
            <w:vAlign w:val="center"/>
          </w:tcPr>
          <w:p>
            <w:pPr>
              <w:pStyle w:val="TableContents"/>
              <w:bidi w:val="0"/>
              <w:spacing w:before="0" w:after="0"/>
              <w:jc w:val="center"/>
              <w:rPr>
                <w:spacing w:val="0"/>
              </w:rPr>
            </w:pPr>
            <w:r>
              <w:rPr>
                <w:spacing w:val="0"/>
              </w:rPr>
              <w:t>   </w:t>
            </w:r>
            <w:r>
              <w:rPr>
                <w:b/>
                <w:spacing w:val="0"/>
              </w:rPr>
              <w:t>2025   </w:t>
            </w:r>
          </w:p>
        </w:tc>
        <w:tc>
          <w:tcPr>
            <w:tcW w:w="80"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55" w:type="dxa"/>
            <w:gridSpan w:val="14"/>
            <w:tcBorders/>
            <w:vAlign w:val="center"/>
          </w:tcPr>
          <w:p>
            <w:pPr>
              <w:pStyle w:val="TableContents"/>
              <w:bidi w:val="0"/>
              <w:spacing w:before="0" w:after="0"/>
              <w:jc w:val="center"/>
              <w:rPr>
                <w:b/>
                <w:spacing w:val="0"/>
              </w:rPr>
            </w:pPr>
            <w:r>
              <w:rPr>
                <w:b/>
                <w:spacing w:val="0"/>
              </w:rPr>
              <w:t>(in thousands)</w:t>
            </w:r>
          </w:p>
        </w:tc>
        <w:tc>
          <w:tcPr>
            <w:tcW w:w="80"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4" w:type="dxa"/>
            <w:gridSpan w:val="2"/>
            <w:tcBorders/>
            <w:vAlign w:val="center"/>
          </w:tcPr>
          <w:p>
            <w:pPr>
              <w:pStyle w:val="TableContents"/>
              <w:bidi w:val="0"/>
              <w:spacing w:before="0" w:after="0"/>
              <w:jc w:val="center"/>
              <w:rPr>
                <w:b/>
                <w:spacing w:val="0"/>
              </w:rPr>
            </w:pPr>
            <w:r>
              <w:rPr>
                <w:b/>
                <w:spacing w:val="0"/>
              </w:rPr>
              <w:t>£</w:t>
            </w:r>
          </w:p>
        </w:tc>
        <w:tc>
          <w:tcPr>
            <w:tcW w:w="1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1604" w:type="dxa"/>
            <w:gridSpan w:val="2"/>
            <w:tcBorders/>
            <w:vAlign w:val="center"/>
          </w:tcPr>
          <w:p>
            <w:pPr>
              <w:pStyle w:val="TableContents"/>
              <w:bidi w:val="0"/>
              <w:spacing w:before="0" w:after="0"/>
              <w:jc w:val="center"/>
              <w:rPr>
                <w:b/>
                <w:spacing w:val="0"/>
              </w:rPr>
            </w:pPr>
            <w:r>
              <w:rPr>
                <w:b/>
                <w:spacing w:val="0"/>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9" w:type="dxa"/>
            <w:gridSpan w:val="2"/>
            <w:tcBorders/>
            <w:vAlign w:val="center"/>
          </w:tcPr>
          <w:p>
            <w:pPr>
              <w:pStyle w:val="TableContents"/>
              <w:bidi w:val="0"/>
              <w:spacing w:before="0" w:after="0"/>
              <w:jc w:val="center"/>
              <w:rPr>
                <w:b/>
                <w:spacing w:val="0"/>
              </w:rPr>
            </w:pPr>
            <w:r>
              <w:rPr>
                <w:b/>
                <w:spacing w:val="0"/>
              </w:rPr>
              <w:t>£</w:t>
            </w:r>
          </w:p>
        </w:tc>
        <w:tc>
          <w:tcPr>
            <w:tcW w:w="149"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1619" w:type="dxa"/>
            <w:gridSpan w:val="2"/>
            <w:tcBorders/>
            <w:vAlign w:val="center"/>
          </w:tcPr>
          <w:p>
            <w:pPr>
              <w:pStyle w:val="TableContents"/>
              <w:bidi w:val="0"/>
              <w:spacing w:before="0" w:after="0"/>
              <w:jc w:val="center"/>
              <w:rPr>
                <w:b/>
                <w:spacing w:val="0"/>
              </w:rPr>
            </w:pPr>
            <w:r>
              <w:rPr>
                <w:b/>
                <w:spacing w:val="0"/>
              </w:rPr>
              <w:t>£</w:t>
            </w:r>
          </w:p>
        </w:tc>
        <w:tc>
          <w:tcPr>
            <w:tcW w:w="80"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Current tax:</w:t>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sz w:val="4"/>
                <w:szCs w:val="4"/>
              </w:rPr>
            </w:pPr>
            <w:r>
              <w:rPr>
                <w:sz w:val="4"/>
                <w:szCs w:val="4"/>
              </w:rPr>
            </w:r>
          </w:p>
        </w:tc>
        <w:tc>
          <w:tcPr>
            <w:tcW w:w="1380" w:type="dxa"/>
            <w:tcBorders/>
            <w:shd w:fill="CCEEFF" w:val="clear"/>
            <w:vAlign w:val="center"/>
          </w:tcPr>
          <w:p>
            <w:pPr>
              <w:pStyle w:val="TableContents"/>
              <w:bidi w:val="0"/>
              <w:spacing w:before="0" w:after="283"/>
              <w:jc w:val="left"/>
              <w:rPr>
                <w:sz w:val="4"/>
                <w:szCs w:val="4"/>
              </w:rPr>
            </w:pPr>
            <w:r>
              <w:rPr>
                <w:sz w:val="4"/>
                <w:szCs w:val="4"/>
              </w:rPr>
            </w:r>
          </w:p>
        </w:tc>
        <w:tc>
          <w:tcPr>
            <w:tcW w:w="160" w:type="dxa"/>
            <w:tcBorders/>
            <w:shd w:fill="CCEEFF" w:val="clear"/>
            <w:vAlign w:val="center"/>
          </w:tcPr>
          <w:p>
            <w:pPr>
              <w:pStyle w:val="TableContents"/>
              <w:bidi w:val="0"/>
              <w:spacing w:before="0" w:after="283"/>
              <w:jc w:val="left"/>
              <w:rPr>
                <w:sz w:val="4"/>
                <w:szCs w:val="4"/>
              </w:rPr>
            </w:pPr>
            <w:r>
              <w:rPr>
                <w:sz w:val="4"/>
                <w:szCs w:val="4"/>
              </w:rPr>
            </w:r>
          </w:p>
        </w:tc>
        <w:tc>
          <w:tcPr>
            <w:tcW w:w="321"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sz w:val="4"/>
                <w:szCs w:val="4"/>
              </w:rPr>
            </w:pPr>
            <w:r>
              <w:rPr>
                <w:sz w:val="4"/>
                <w:szCs w:val="4"/>
              </w:rPr>
            </w:r>
          </w:p>
        </w:tc>
        <w:tc>
          <w:tcPr>
            <w:tcW w:w="13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sz w:val="4"/>
                <w:szCs w:val="4"/>
              </w:rPr>
            </w:pPr>
            <w:r>
              <w:rPr>
                <w:sz w:val="4"/>
                <w:szCs w:val="4"/>
              </w:rPr>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149" w:type="dxa"/>
            <w:tcBorders/>
            <w:shd w:fill="CCEEFF" w:val="clear"/>
            <w:vAlign w:val="center"/>
          </w:tcPr>
          <w:p>
            <w:pPr>
              <w:pStyle w:val="TableContents"/>
              <w:bidi w:val="0"/>
              <w:spacing w:before="0" w:after="283"/>
              <w:jc w:val="left"/>
              <w:rPr>
                <w:sz w:val="4"/>
                <w:szCs w:val="4"/>
              </w:rPr>
            </w:pPr>
            <w:r>
              <w:rPr>
                <w:sz w:val="4"/>
                <w:szCs w:val="4"/>
              </w:rPr>
            </w:r>
          </w:p>
        </w:tc>
        <w:tc>
          <w:tcPr>
            <w:tcW w:w="299"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sz w:val="4"/>
                <w:szCs w:val="4"/>
              </w:rPr>
            </w:pPr>
            <w:r>
              <w:rPr>
                <w:sz w:val="4"/>
                <w:szCs w:val="4"/>
              </w:rPr>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sz w:val="4"/>
                <w:szCs w:val="4"/>
              </w:rPr>
            </w:pPr>
            <w:r>
              <w:rPr>
                <w:sz w:val="4"/>
                <w:szCs w:val="4"/>
              </w:rPr>
            </w:r>
          </w:p>
        </w:tc>
      </w:tr>
      <w:tr>
        <w:trPr/>
        <w:tc>
          <w:tcPr>
            <w:tcW w:w="245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 respect of current period U.K.</w:t>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380" w:type="dxa"/>
            <w:tcBorders/>
            <w:vAlign w:val="center"/>
          </w:tcPr>
          <w:p>
            <w:pPr>
              <w:pStyle w:val="TableContents"/>
              <w:bidi w:val="0"/>
              <w:spacing w:before="0" w:after="283"/>
              <w:jc w:val="right"/>
              <w:rPr/>
            </w:pPr>
            <w:r>
              <w:rPr/>
              <w:t>330</w:t>
            </w:r>
          </w:p>
        </w:tc>
        <w:tc>
          <w:tcPr>
            <w:tcW w:w="1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380" w:type="dxa"/>
            <w:tcBorders/>
            <w:vAlign w:val="center"/>
          </w:tcPr>
          <w:p>
            <w:pPr>
              <w:pStyle w:val="TableContents"/>
              <w:bidi w:val="0"/>
              <w:spacing w:before="0" w:after="283"/>
              <w:jc w:val="right"/>
              <w:rPr/>
            </w:pPr>
            <w:r>
              <w:rPr/>
              <w:t>301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737</w:t>
            </w:r>
          </w:p>
        </w:tc>
        <w:tc>
          <w:tcPr>
            <w:tcW w:w="149"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648</w:t>
            </w:r>
          </w:p>
        </w:tc>
        <w:tc>
          <w:tcPr>
            <w:tcW w:w="80"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 respect of prior period U.K.</w:t>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380" w:type="dxa"/>
            <w:tcBorders/>
            <w:shd w:fill="CCEEFF" w:val="clear"/>
            <w:vAlign w:val="center"/>
          </w:tcPr>
          <w:p>
            <w:pPr>
              <w:pStyle w:val="TableContents"/>
              <w:bidi w:val="0"/>
              <w:spacing w:before="0" w:after="283"/>
              <w:jc w:val="right"/>
              <w:rPr/>
            </w:pPr>
            <w:r>
              <w:rPr/>
              <w:t>— </w:t>
            </w:r>
          </w:p>
        </w:tc>
        <w:tc>
          <w:tcPr>
            <w:tcW w:w="1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380" w:type="dxa"/>
            <w:tcBorders/>
            <w:shd w:fill="CCEEFF" w:val="clear"/>
            <w:vAlign w:val="center"/>
          </w:tcPr>
          <w:p>
            <w:pPr>
              <w:pStyle w:val="TableContents"/>
              <w:bidi w:val="0"/>
              <w:spacing w:before="0" w:after="283"/>
              <w:jc w:val="right"/>
              <w:rPr/>
            </w:pPr>
            <w:r>
              <w:rPr/>
              <w:t>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149"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24</w:t>
            </w:r>
          </w:p>
        </w:tc>
        <w:tc>
          <w:tcPr>
            <w:tcW w:w="80" w:type="dxa"/>
            <w:tcBorders/>
            <w:shd w:fill="CCEEFF" w:val="clear"/>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9"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380" w:type="dxa"/>
            <w:tcBorders/>
            <w:vAlign w:val="center"/>
          </w:tcPr>
          <w:p>
            <w:pPr>
              <w:pStyle w:val="TableContents"/>
              <w:bidi w:val="0"/>
              <w:spacing w:before="0" w:after="283"/>
              <w:jc w:val="right"/>
              <w:rPr/>
            </w:pPr>
            <w:r>
              <w:rPr/>
              <w:t>330</w:t>
            </w:r>
          </w:p>
        </w:tc>
        <w:tc>
          <w:tcPr>
            <w:tcW w:w="1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380" w:type="dxa"/>
            <w:tcBorders/>
            <w:vAlign w:val="center"/>
          </w:tcPr>
          <w:p>
            <w:pPr>
              <w:pStyle w:val="TableContents"/>
              <w:bidi w:val="0"/>
              <w:spacing w:before="0" w:after="283"/>
              <w:jc w:val="right"/>
              <w:rPr/>
            </w:pPr>
            <w:r>
              <w:rPr/>
              <w:t>325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737</w:t>
            </w:r>
          </w:p>
        </w:tc>
        <w:tc>
          <w:tcPr>
            <w:tcW w:w="149"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672</w:t>
            </w:r>
          </w:p>
        </w:tc>
        <w:tc>
          <w:tcPr>
            <w:tcW w:w="80"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Deferred tax:</w:t>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sz w:val="4"/>
                <w:szCs w:val="4"/>
              </w:rPr>
            </w:pPr>
            <w:r>
              <w:rPr>
                <w:sz w:val="4"/>
                <w:szCs w:val="4"/>
              </w:rPr>
            </w:r>
          </w:p>
        </w:tc>
        <w:tc>
          <w:tcPr>
            <w:tcW w:w="1380" w:type="dxa"/>
            <w:tcBorders/>
            <w:shd w:fill="CCEEFF" w:val="clear"/>
            <w:vAlign w:val="center"/>
          </w:tcPr>
          <w:p>
            <w:pPr>
              <w:pStyle w:val="TableContents"/>
              <w:bidi w:val="0"/>
              <w:spacing w:before="0" w:after="283"/>
              <w:jc w:val="left"/>
              <w:rPr>
                <w:sz w:val="4"/>
                <w:szCs w:val="4"/>
              </w:rPr>
            </w:pPr>
            <w:r>
              <w:rPr>
                <w:sz w:val="4"/>
                <w:szCs w:val="4"/>
              </w:rPr>
            </w:r>
          </w:p>
        </w:tc>
        <w:tc>
          <w:tcPr>
            <w:tcW w:w="160" w:type="dxa"/>
            <w:tcBorders/>
            <w:shd w:fill="CCEEFF" w:val="clear"/>
            <w:vAlign w:val="center"/>
          </w:tcPr>
          <w:p>
            <w:pPr>
              <w:pStyle w:val="TableContents"/>
              <w:bidi w:val="0"/>
              <w:spacing w:before="0" w:after="283"/>
              <w:jc w:val="left"/>
              <w:rPr>
                <w:sz w:val="4"/>
                <w:szCs w:val="4"/>
              </w:rPr>
            </w:pPr>
            <w:r>
              <w:rPr>
                <w:sz w:val="4"/>
                <w:szCs w:val="4"/>
              </w:rPr>
            </w:r>
          </w:p>
        </w:tc>
        <w:tc>
          <w:tcPr>
            <w:tcW w:w="321"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sz w:val="4"/>
                <w:szCs w:val="4"/>
              </w:rPr>
            </w:pPr>
            <w:r>
              <w:rPr>
                <w:sz w:val="4"/>
                <w:szCs w:val="4"/>
              </w:rPr>
            </w:r>
          </w:p>
        </w:tc>
        <w:tc>
          <w:tcPr>
            <w:tcW w:w="13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sz w:val="4"/>
                <w:szCs w:val="4"/>
              </w:rPr>
            </w:pPr>
            <w:r>
              <w:rPr>
                <w:sz w:val="4"/>
                <w:szCs w:val="4"/>
              </w:rPr>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149" w:type="dxa"/>
            <w:tcBorders/>
            <w:shd w:fill="CCEEFF" w:val="clear"/>
            <w:vAlign w:val="center"/>
          </w:tcPr>
          <w:p>
            <w:pPr>
              <w:pStyle w:val="TableContents"/>
              <w:bidi w:val="0"/>
              <w:spacing w:before="0" w:after="283"/>
              <w:jc w:val="left"/>
              <w:rPr>
                <w:sz w:val="4"/>
                <w:szCs w:val="4"/>
              </w:rPr>
            </w:pPr>
            <w:r>
              <w:rPr>
                <w:sz w:val="4"/>
                <w:szCs w:val="4"/>
              </w:rPr>
            </w:r>
          </w:p>
        </w:tc>
        <w:tc>
          <w:tcPr>
            <w:tcW w:w="299"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sz w:val="4"/>
                <w:szCs w:val="4"/>
              </w:rPr>
            </w:pPr>
            <w:r>
              <w:rPr>
                <w:sz w:val="4"/>
                <w:szCs w:val="4"/>
              </w:rPr>
            </w:r>
          </w:p>
        </w:tc>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sz w:val="4"/>
                <w:szCs w:val="4"/>
              </w:rPr>
            </w:pPr>
            <w:r>
              <w:rPr>
                <w:sz w:val="4"/>
                <w:szCs w:val="4"/>
              </w:rPr>
            </w:r>
          </w:p>
        </w:tc>
      </w:tr>
      <w:tr>
        <w:trPr/>
        <w:tc>
          <w:tcPr>
            <w:tcW w:w="245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 respect of current period U.S.</w:t>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380" w:type="dxa"/>
            <w:tcBorders/>
            <w:vAlign w:val="center"/>
          </w:tcPr>
          <w:p>
            <w:pPr>
              <w:pStyle w:val="TableContents"/>
              <w:bidi w:val="0"/>
              <w:spacing w:before="0" w:after="283"/>
              <w:jc w:val="right"/>
              <w:rPr/>
            </w:pPr>
            <w:r>
              <w:rPr/>
              <w:t>3</w:t>
            </w:r>
          </w:p>
        </w:tc>
        <w:tc>
          <w:tcPr>
            <w:tcW w:w="1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380" w:type="dxa"/>
            <w:tcBorders/>
            <w:vAlign w:val="center"/>
          </w:tcPr>
          <w:p>
            <w:pPr>
              <w:pStyle w:val="TableContents"/>
              <w:bidi w:val="0"/>
              <w:spacing w:before="0" w:after="283"/>
              <w:jc w:val="right"/>
              <w:rPr/>
            </w:pPr>
            <w:r>
              <w:rPr/>
              <w:t>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6</w:t>
            </w:r>
          </w:p>
        </w:tc>
        <w:tc>
          <w:tcPr>
            <w:tcW w:w="149"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9</w:t>
            </w:r>
          </w:p>
        </w:tc>
        <w:tc>
          <w:tcPr>
            <w:tcW w:w="80"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9"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Income tax credit</w:t>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0"/>
              <w:jc w:val="left"/>
              <w:rPr>
                <w:spacing w:val="0"/>
              </w:rPr>
            </w:pPr>
            <w:r>
              <w:rPr>
                <w:spacing w:val="0"/>
              </w:rPr>
              <w:t> </w:t>
            </w:r>
          </w:p>
        </w:tc>
        <w:tc>
          <w:tcPr>
            <w:tcW w:w="1380" w:type="dxa"/>
            <w:tcBorders/>
            <w:shd w:fill="CCEEFF" w:val="clear"/>
            <w:vAlign w:val="center"/>
          </w:tcPr>
          <w:p>
            <w:pPr>
              <w:pStyle w:val="TableContents"/>
              <w:bidi w:val="0"/>
              <w:spacing w:before="0" w:after="0"/>
              <w:jc w:val="right"/>
              <w:rPr>
                <w:b/>
                <w:spacing w:val="0"/>
              </w:rPr>
            </w:pPr>
            <w:r>
              <w:rPr>
                <w:b/>
                <w:spacing w:val="0"/>
              </w:rPr>
              <w:t>333</w:t>
            </w:r>
          </w:p>
        </w:tc>
        <w:tc>
          <w:tcPr>
            <w:tcW w:w="160" w:type="dxa"/>
            <w:tcBorders/>
            <w:shd w:fill="CCEEFF" w:val="clear"/>
            <w:vAlign w:val="center"/>
          </w:tcPr>
          <w:p>
            <w:pPr>
              <w:pStyle w:val="TableContents"/>
              <w:bidi w:val="0"/>
              <w:spacing w:before="0" w:after="0"/>
              <w:jc w:val="left"/>
              <w:rPr>
                <w:spacing w:val="0"/>
              </w:rPr>
            </w:pPr>
            <w:r>
              <w:rPr>
                <w:spacing w:val="0"/>
              </w:rPr>
              <w:t> </w:t>
            </w:r>
          </w:p>
        </w:tc>
        <w:tc>
          <w:tcPr>
            <w:tcW w:w="321"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0"/>
              <w:jc w:val="left"/>
              <w:rPr>
                <w:spacing w:val="0"/>
              </w:rPr>
            </w:pPr>
            <w:r>
              <w:rPr>
                <w:spacing w:val="0"/>
              </w:rPr>
              <w:t> </w:t>
            </w:r>
          </w:p>
        </w:tc>
        <w:tc>
          <w:tcPr>
            <w:tcW w:w="1380" w:type="dxa"/>
            <w:tcBorders/>
            <w:shd w:fill="CCEEFF" w:val="clear"/>
            <w:vAlign w:val="center"/>
          </w:tcPr>
          <w:p>
            <w:pPr>
              <w:pStyle w:val="TableContents"/>
              <w:bidi w:val="0"/>
              <w:spacing w:before="0" w:after="0"/>
              <w:jc w:val="right"/>
              <w:rPr>
                <w:b/>
                <w:spacing w:val="0"/>
              </w:rPr>
            </w:pPr>
            <w:r>
              <w:rPr>
                <w:b/>
                <w:spacing w:val="0"/>
              </w:rPr>
              <w:t>328</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0"/>
              <w:jc w:val="left"/>
              <w:rPr>
                <w:spacing w:val="0"/>
              </w:rPr>
            </w:pPr>
            <w:r>
              <w:rPr>
                <w:spacing w:val="0"/>
              </w:rPr>
              <w:t> </w:t>
            </w:r>
          </w:p>
        </w:tc>
        <w:tc>
          <w:tcPr>
            <w:tcW w:w="1400" w:type="dxa"/>
            <w:tcBorders/>
            <w:shd w:fill="CCEEFF" w:val="clear"/>
            <w:vAlign w:val="center"/>
          </w:tcPr>
          <w:p>
            <w:pPr>
              <w:pStyle w:val="TableContents"/>
              <w:bidi w:val="0"/>
              <w:spacing w:before="0" w:after="0"/>
              <w:jc w:val="right"/>
              <w:rPr>
                <w:b/>
                <w:spacing w:val="0"/>
              </w:rPr>
            </w:pPr>
            <w:r>
              <w:rPr>
                <w:b/>
                <w:spacing w:val="0"/>
              </w:rPr>
              <w:t>743</w:t>
            </w:r>
          </w:p>
        </w:tc>
        <w:tc>
          <w:tcPr>
            <w:tcW w:w="149" w:type="dxa"/>
            <w:tcBorders/>
            <w:shd w:fill="CCEEFF" w:val="clear"/>
            <w:vAlign w:val="center"/>
          </w:tcPr>
          <w:p>
            <w:pPr>
              <w:pStyle w:val="TableContents"/>
              <w:bidi w:val="0"/>
              <w:spacing w:before="0" w:after="0"/>
              <w:jc w:val="left"/>
              <w:rPr>
                <w:spacing w:val="0"/>
              </w:rPr>
            </w:pPr>
            <w:r>
              <w:rPr>
                <w:spacing w:val="0"/>
              </w:rPr>
              <w:t> </w:t>
            </w:r>
          </w:p>
        </w:tc>
        <w:tc>
          <w:tcPr>
            <w:tcW w:w="299"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0"/>
              <w:jc w:val="left"/>
              <w:rPr>
                <w:spacing w:val="0"/>
              </w:rPr>
            </w:pPr>
            <w:r>
              <w:rPr>
                <w:spacing w:val="0"/>
              </w:rPr>
              <w:t> </w:t>
            </w:r>
          </w:p>
        </w:tc>
        <w:tc>
          <w:tcPr>
            <w:tcW w:w="1400" w:type="dxa"/>
            <w:tcBorders/>
            <w:shd w:fill="CCEEFF" w:val="clear"/>
            <w:vAlign w:val="center"/>
          </w:tcPr>
          <w:p>
            <w:pPr>
              <w:pStyle w:val="TableContents"/>
              <w:bidi w:val="0"/>
              <w:spacing w:before="0" w:after="0"/>
              <w:jc w:val="right"/>
              <w:rPr>
                <w:b/>
                <w:spacing w:val="0"/>
              </w:rPr>
            </w:pPr>
            <w:r>
              <w:rPr>
                <w:b/>
                <w:spacing w:val="0"/>
              </w:rPr>
              <w:t>681</w:t>
            </w:r>
          </w:p>
        </w:tc>
        <w:tc>
          <w:tcPr>
            <w:tcW w:w="80" w:type="dxa"/>
            <w:tcBorders/>
            <w:shd w:fill="CCEEFF" w:val="clear"/>
            <w:vAlign w:val="center"/>
          </w:tcPr>
          <w:p>
            <w:pPr>
              <w:pStyle w:val="TableContents"/>
              <w:bidi w:val="0"/>
              <w:spacing w:before="0" w:after="0"/>
              <w:jc w:val="left"/>
              <w:rPr>
                <w:spacing w:val="0"/>
              </w:rPr>
            </w:pPr>
            <w:r>
              <w:rPr>
                <w:spacing w:val="0"/>
              </w:rPr>
              <w:t> </w:t>
            </w:r>
          </w:p>
        </w:tc>
      </w:tr>
      <w:tr>
        <w:trPr/>
        <w:tc>
          <w:tcPr>
            <w:tcW w:w="24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0"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9"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income tax credit recognized primarily represents the U.K. research and development tax credits. In the United Kingdom, the Company is able to surrender some of its losses for a cash rebate of up to 26.97% of expenditure related to eligible research and development projects. </w:t>
      </w:r>
    </w:p>
    <w:p>
      <w:pPr>
        <w:pStyle w:val="HorizontalLine"/>
        <w:pBdr>
          <w:bottom w:val="double" w:sz="2" w:space="0" w:color="808080"/>
        </w:pBdr>
        <w:bidi w:val="0"/>
        <w:spacing w:before="0" w:after="283"/>
        <w:jc w:val="left"/>
        <w:rPr/>
      </w:pPr>
      <w:r>
        <w:rPr/>
      </w:r>
    </w:p>
    <w:tbl>
      <w:tblPr>
        <w:tblW w:w="5848" w:type="dxa"/>
        <w:jc w:val="left"/>
        <w:tblInd w:w="0" w:type="dxa"/>
        <w:tblLayout w:type="fixed"/>
        <w:tblCellMar>
          <w:top w:w="0" w:type="dxa"/>
          <w:left w:w="0" w:type="dxa"/>
          <w:bottom w:w="0" w:type="dxa"/>
          <w:right w:w="0" w:type="dxa"/>
        </w:tblCellMar>
      </w:tblPr>
      <w:tblGrid>
        <w:gridCol w:w="2615"/>
        <w:gridCol w:w="120"/>
        <w:gridCol w:w="138"/>
        <w:gridCol w:w="1306"/>
        <w:gridCol w:w="60"/>
        <w:gridCol w:w="120"/>
        <w:gridCol w:w="136"/>
        <w:gridCol w:w="1278"/>
        <w:gridCol w:w="75"/>
      </w:tblGrid>
      <w:tr>
        <w:trPr/>
        <w:tc>
          <w:tcPr>
            <w:tcW w:w="26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6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44" w:type="dxa"/>
            <w:gridSpan w:val="2"/>
            <w:tcBorders>
              <w:bottom w:val="single" w:sz="8" w:space="0" w:color="000000"/>
            </w:tcBorders>
            <w:tcMar>
              <w:bottom w:w="28" w:type="dxa"/>
            </w:tcMar>
            <w:vAlign w:val="center"/>
          </w:tcPr>
          <w:p>
            <w:pPr>
              <w:pStyle w:val="TableContents"/>
              <w:bidi w:val="0"/>
              <w:spacing w:before="0" w:after="0"/>
              <w:jc w:val="center"/>
              <w:rPr>
                <w:spacing w:val="0"/>
              </w:rPr>
            </w:pPr>
            <w:r>
              <w:rPr>
                <w:spacing w:val="0"/>
              </w:rPr>
              <w:t>  </w:t>
            </w:r>
            <w:r>
              <w:rPr>
                <w:b/>
                <w:spacing w:val="0"/>
              </w:rPr>
              <w:t>June 30,  </w:t>
            </w:r>
          </w:p>
          <w:p>
            <w:pPr>
              <w:pStyle w:val="TableContents"/>
              <w:bidi w:val="0"/>
              <w:spacing w:before="0" w:after="0"/>
              <w:jc w:val="center"/>
              <w:rPr/>
            </w:pPr>
            <w:r>
              <w:rPr/>
            </w:r>
          </w:p>
          <w:p>
            <w:pPr>
              <w:pStyle w:val="TableContents"/>
              <w:bidi w:val="0"/>
              <w:spacing w:before="0" w:after="0"/>
              <w:jc w:val="center"/>
              <w:rPr>
                <w:b/>
                <w:spacing w:val="0"/>
              </w:rPr>
            </w:pPr>
            <w:r>
              <w:rPr>
                <w:b/>
                <w:spacing w:val="0"/>
              </w:rPr>
              <w:t>2026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r>
          </w:p>
          <w:p>
            <w:pPr>
              <w:pStyle w:val="TableContents"/>
              <w:bidi w:val="0"/>
              <w:spacing w:before="0" w:after="0"/>
              <w:jc w:val="center"/>
              <w:rPr/>
            </w:pPr>
            <w:r>
              <w:rPr/>
            </w:r>
          </w:p>
          <w:p>
            <w:pPr>
              <w:pStyle w:val="TableContents"/>
              <w:bidi w:val="0"/>
              <w:spacing w:before="0" w:after="0"/>
              <w:jc w:val="center"/>
              <w:rPr>
                <w:b/>
                <w:spacing w:val="0"/>
              </w:rPr>
            </w:pPr>
            <w:r>
              <w:rPr>
                <w:b/>
                <w:spacing w:val="0"/>
              </w:rPr>
              <w:t>2025</w:t>
            </w:r>
          </w:p>
        </w:tc>
        <w:tc>
          <w:tcPr>
            <w:tcW w:w="75"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38" w:type="dxa"/>
            <w:gridSpan w:val="6"/>
            <w:tcBorders/>
            <w:vAlign w:val="center"/>
          </w:tcPr>
          <w:p>
            <w:pPr>
              <w:pStyle w:val="TableContents"/>
              <w:bidi w:val="0"/>
              <w:spacing w:before="0" w:after="0"/>
              <w:jc w:val="center"/>
              <w:rPr>
                <w:b/>
                <w:spacing w:val="0"/>
              </w:rPr>
            </w:pPr>
            <w:r>
              <w:rPr>
                <w:b/>
                <w:spacing w:val="0"/>
              </w:rPr>
              <w:t>(in thousands)</w:t>
            </w:r>
          </w:p>
        </w:tc>
        <w:tc>
          <w:tcPr>
            <w:tcW w:w="75"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0"/>
              <w:jc w:val="center"/>
              <w:rPr>
                <w:b/>
                <w:spacing w:val="0"/>
              </w:rPr>
            </w:pPr>
            <w:r>
              <w:rPr>
                <w:b/>
                <w:spacing w:val="0"/>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0"/>
              <w:jc w:val="center"/>
              <w:rPr>
                <w:b/>
                <w:spacing w:val="0"/>
              </w:rPr>
            </w:pPr>
            <w:r>
              <w:rPr>
                <w:b/>
                <w:spacing w:val="0"/>
              </w:rPr>
              <w:t>£</w:t>
            </w:r>
          </w:p>
        </w:tc>
        <w:tc>
          <w:tcPr>
            <w:tcW w:w="75"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Current income tax receivable</w:t>
            </w:r>
          </w:p>
        </w:tc>
        <w:tc>
          <w:tcPr>
            <w:tcW w:w="12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sz w:val="4"/>
                <w:szCs w:val="4"/>
              </w:rPr>
            </w:pPr>
            <w:r>
              <w:rPr>
                <w:sz w:val="4"/>
                <w:szCs w:val="4"/>
              </w:rPr>
            </w:r>
          </w:p>
        </w:tc>
        <w:tc>
          <w:tcPr>
            <w:tcW w:w="130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sz w:val="4"/>
                <w:szCs w:val="4"/>
              </w:rPr>
            </w:pPr>
            <w:r>
              <w:rPr>
                <w:sz w:val="4"/>
                <w:szCs w:val="4"/>
              </w:rPr>
            </w:r>
          </w:p>
        </w:tc>
        <w:tc>
          <w:tcPr>
            <w:tcW w:w="1278"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6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U.K. tax</w:t>
            </w:r>
          </w:p>
        </w:tc>
        <w:tc>
          <w:tcPr>
            <w:tcW w:w="12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right"/>
              <w:rPr/>
            </w:pPr>
            <w:r>
              <w:rPr/>
              <w:t>2,496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278" w:type="dxa"/>
            <w:tcBorders/>
            <w:vAlign w:val="center"/>
          </w:tcPr>
          <w:p>
            <w:pPr>
              <w:pStyle w:val="TableContents"/>
              <w:bidi w:val="0"/>
              <w:spacing w:before="0" w:after="283"/>
              <w:jc w:val="right"/>
              <w:rPr/>
            </w:pPr>
            <w:r>
              <w:rPr/>
              <w:t>1,759</w:t>
            </w:r>
          </w:p>
        </w:tc>
        <w:tc>
          <w:tcPr>
            <w:tcW w:w="75"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U.S. tax</w:t>
            </w:r>
          </w:p>
        </w:tc>
        <w:tc>
          <w:tcPr>
            <w:tcW w:w="12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right"/>
              <w:rPr/>
            </w:pPr>
            <w:r>
              <w:rPr/>
              <w:t>2</w:t>
            </w:r>
          </w:p>
        </w:tc>
        <w:tc>
          <w:tcPr>
            <w:tcW w:w="75" w:type="dxa"/>
            <w:tcBorders/>
            <w:shd w:fill="CCEEFF" w:val="clear"/>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0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7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0"/>
              <w:jc w:val="left"/>
              <w:rPr>
                <w:spacing w:val="0"/>
              </w:rPr>
            </w:pPr>
            <w:r>
              <w:rPr>
                <w:spacing w:val="0"/>
              </w:rPr>
              <w:t> </w:t>
            </w:r>
          </w:p>
        </w:tc>
        <w:tc>
          <w:tcPr>
            <w:tcW w:w="1306" w:type="dxa"/>
            <w:tcBorders/>
            <w:vAlign w:val="center"/>
          </w:tcPr>
          <w:p>
            <w:pPr>
              <w:pStyle w:val="TableContents"/>
              <w:bidi w:val="0"/>
              <w:spacing w:before="0" w:after="0"/>
              <w:jc w:val="right"/>
              <w:rPr>
                <w:b/>
                <w:spacing w:val="0"/>
              </w:rPr>
            </w:pPr>
            <w:r>
              <w:rPr>
                <w:b/>
                <w:spacing w:val="0"/>
              </w:rPr>
              <w:t>2,498</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0"/>
              <w:jc w:val="left"/>
              <w:rPr>
                <w:spacing w:val="0"/>
              </w:rPr>
            </w:pPr>
            <w:r>
              <w:rPr>
                <w:spacing w:val="0"/>
              </w:rPr>
              <w:t> </w:t>
            </w:r>
          </w:p>
        </w:tc>
        <w:tc>
          <w:tcPr>
            <w:tcW w:w="1278" w:type="dxa"/>
            <w:tcBorders/>
            <w:vAlign w:val="center"/>
          </w:tcPr>
          <w:p>
            <w:pPr>
              <w:pStyle w:val="TableContents"/>
              <w:bidi w:val="0"/>
              <w:spacing w:before="0" w:after="0"/>
              <w:jc w:val="right"/>
              <w:rPr>
                <w:b/>
                <w:spacing w:val="0"/>
              </w:rPr>
            </w:pPr>
            <w:r>
              <w:rPr>
                <w:b/>
                <w:spacing w:val="0"/>
              </w:rPr>
              <w:t>1,761</w:t>
            </w:r>
          </w:p>
        </w:tc>
        <w:tc>
          <w:tcPr>
            <w:tcW w:w="75" w:type="dxa"/>
            <w:tcBorders/>
            <w:vAlign w:val="center"/>
          </w:tcPr>
          <w:p>
            <w:pPr>
              <w:pStyle w:val="TableContents"/>
              <w:bidi w:val="0"/>
              <w:spacing w:before="0" w:after="0"/>
              <w:jc w:val="left"/>
              <w:rPr>
                <w:spacing w:val="0"/>
              </w:rPr>
            </w:pPr>
            <w:r>
              <w:rPr>
                <w:spacing w:val="0"/>
              </w:rPr>
              <w:t> </w:t>
            </w:r>
          </w:p>
        </w:tc>
      </w:tr>
      <w:tr>
        <w:trPr/>
        <w:tc>
          <w:tcPr>
            <w:tcW w:w="26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0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7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Deferred tax asset</w:t>
            </w:r>
          </w:p>
        </w:tc>
        <w:tc>
          <w:tcPr>
            <w:tcW w:w="12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sz w:val="4"/>
                <w:szCs w:val="4"/>
              </w:rPr>
            </w:pPr>
            <w:r>
              <w:rPr>
                <w:sz w:val="4"/>
                <w:szCs w:val="4"/>
              </w:rPr>
            </w:r>
          </w:p>
        </w:tc>
        <w:tc>
          <w:tcPr>
            <w:tcW w:w="130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sz w:val="4"/>
                <w:szCs w:val="4"/>
              </w:rPr>
            </w:pPr>
            <w:r>
              <w:rPr>
                <w:sz w:val="4"/>
                <w:szCs w:val="4"/>
              </w:rPr>
            </w:r>
          </w:p>
        </w:tc>
        <w:tc>
          <w:tcPr>
            <w:tcW w:w="1278"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6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U.S. deferred tax asset</w:t>
            </w:r>
          </w:p>
        </w:tc>
        <w:tc>
          <w:tcPr>
            <w:tcW w:w="12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0"/>
              <w:jc w:val="left"/>
              <w:rPr>
                <w:spacing w:val="0"/>
              </w:rPr>
            </w:pPr>
            <w:r>
              <w:rPr>
                <w:spacing w:val="0"/>
              </w:rPr>
              <w:t> </w:t>
            </w:r>
          </w:p>
        </w:tc>
        <w:tc>
          <w:tcPr>
            <w:tcW w:w="1306" w:type="dxa"/>
            <w:tcBorders/>
            <w:vAlign w:val="center"/>
          </w:tcPr>
          <w:p>
            <w:pPr>
              <w:pStyle w:val="TableContents"/>
              <w:bidi w:val="0"/>
              <w:spacing w:before="0" w:after="0"/>
              <w:jc w:val="right"/>
              <w:rPr>
                <w:b/>
                <w:spacing w:val="0"/>
              </w:rPr>
            </w:pPr>
            <w:r>
              <w:rPr>
                <w:b/>
                <w:spacing w:val="0"/>
              </w:rPr>
              <w:t>125</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0"/>
              <w:jc w:val="left"/>
              <w:rPr>
                <w:spacing w:val="0"/>
              </w:rPr>
            </w:pPr>
            <w:r>
              <w:rPr>
                <w:spacing w:val="0"/>
              </w:rPr>
              <w:t> </w:t>
            </w:r>
          </w:p>
        </w:tc>
        <w:tc>
          <w:tcPr>
            <w:tcW w:w="1278" w:type="dxa"/>
            <w:tcBorders/>
            <w:vAlign w:val="center"/>
          </w:tcPr>
          <w:p>
            <w:pPr>
              <w:pStyle w:val="TableContents"/>
              <w:bidi w:val="0"/>
              <w:spacing w:before="0" w:after="0"/>
              <w:jc w:val="right"/>
              <w:rPr>
                <w:b/>
                <w:spacing w:val="0"/>
              </w:rPr>
            </w:pPr>
            <w:r>
              <w:rPr>
                <w:b/>
                <w:spacing w:val="0"/>
              </w:rPr>
              <w:t>117</w:t>
            </w:r>
          </w:p>
        </w:tc>
        <w:tc>
          <w:tcPr>
            <w:tcW w:w="75" w:type="dxa"/>
            <w:tcBorders/>
            <w:vAlign w:val="center"/>
          </w:tcPr>
          <w:p>
            <w:pPr>
              <w:pStyle w:val="TableContents"/>
              <w:bidi w:val="0"/>
              <w:spacing w:before="0" w:after="0"/>
              <w:jc w:val="left"/>
              <w:rPr>
                <w:spacing w:val="0"/>
              </w:rPr>
            </w:pPr>
            <w:r>
              <w:rPr>
                <w:spacing w:val="0"/>
              </w:rPr>
              <w:t> </w:t>
            </w:r>
          </w:p>
        </w:tc>
      </w:tr>
      <w:tr>
        <w:trPr/>
        <w:tc>
          <w:tcPr>
            <w:tcW w:w="26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0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7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5. Basic and diluted loss per ordinary share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3261"/>
        <w:gridCol w:w="120"/>
        <w:gridCol w:w="75"/>
        <w:gridCol w:w="1394"/>
        <w:gridCol w:w="174"/>
        <w:gridCol w:w="134"/>
        <w:gridCol w:w="81"/>
        <w:gridCol w:w="1338"/>
        <w:gridCol w:w="155"/>
        <w:gridCol w:w="120"/>
        <w:gridCol w:w="74"/>
        <w:gridCol w:w="1395"/>
        <w:gridCol w:w="163"/>
        <w:gridCol w:w="126"/>
        <w:gridCol w:w="80"/>
        <w:gridCol w:w="1338"/>
        <w:gridCol w:w="177"/>
      </w:tblGrid>
      <w:tr>
        <w:trPr/>
        <w:tc>
          <w:tcPr>
            <w:tcW w:w="326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326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96" w:type="dxa"/>
            <w:gridSpan w:val="6"/>
            <w:tcBorders/>
            <w:vAlign w:val="center"/>
          </w:tcPr>
          <w:p>
            <w:pPr>
              <w:pStyle w:val="TableContents"/>
              <w:bidi w:val="0"/>
              <w:spacing w:before="0" w:after="0"/>
              <w:jc w:val="center"/>
              <w:rPr>
                <w:b/>
                <w:spacing w:val="0"/>
              </w:rPr>
            </w:pPr>
            <w:r>
              <w:rPr>
                <w:b/>
                <w:spacing w:val="0"/>
              </w:rPr>
              <w:t>For the Three Months Ended</w:t>
            </w:r>
          </w:p>
          <w:p>
            <w:pPr>
              <w:pStyle w:val="TableContents"/>
              <w:bidi w:val="0"/>
              <w:spacing w:before="0" w:after="0"/>
              <w:jc w:val="center"/>
              <w:rPr/>
            </w:pPr>
            <w:r>
              <w:rPr/>
            </w:r>
          </w:p>
          <w:p>
            <w:pPr>
              <w:pStyle w:val="TableContents"/>
              <w:bidi w:val="0"/>
              <w:spacing w:before="0" w:after="0"/>
              <w:jc w:val="center"/>
              <w:rPr>
                <w:b/>
                <w:spacing w:val="0"/>
              </w:rPr>
            </w:pPr>
            <w:r>
              <w:rPr>
                <w:b/>
                <w:spacing w:val="0"/>
              </w:rPr>
              <w:t>June 30,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76" w:type="dxa"/>
            <w:gridSpan w:val="6"/>
            <w:tcBorders/>
            <w:vAlign w:val="center"/>
          </w:tcPr>
          <w:p>
            <w:pPr>
              <w:pStyle w:val="TableContents"/>
              <w:bidi w:val="0"/>
              <w:spacing w:before="0" w:after="0"/>
              <w:jc w:val="center"/>
              <w:rPr>
                <w:b/>
                <w:spacing w:val="0"/>
              </w:rPr>
            </w:pPr>
            <w:r>
              <w:rPr>
                <w:b/>
                <w:spacing w:val="0"/>
              </w:rPr>
              <w:t>For the Six Months Ended</w:t>
              <w:br/>
              <w:t>June 30,</w:t>
            </w:r>
          </w:p>
        </w:tc>
        <w:tc>
          <w:tcPr>
            <w:tcW w:w="177" w:type="dxa"/>
            <w:tcBorders/>
            <w:vAlign w:val="center"/>
          </w:tcPr>
          <w:p>
            <w:pPr>
              <w:pStyle w:val="TableContents"/>
              <w:bidi w:val="0"/>
              <w:spacing w:before="0" w:after="283"/>
              <w:jc w:val="left"/>
              <w:rPr/>
            </w:pPr>
            <w:r>
              <w:rPr/>
              <w:t> </w:t>
            </w:r>
          </w:p>
        </w:tc>
      </w:tr>
      <w:tr>
        <w:trPr/>
        <w:tc>
          <w:tcPr>
            <w:tcW w:w="326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9" w:type="dxa"/>
            <w:gridSpan w:val="2"/>
            <w:tcBorders/>
            <w:vAlign w:val="center"/>
          </w:tcPr>
          <w:p>
            <w:pPr>
              <w:pStyle w:val="TableContents"/>
              <w:bidi w:val="0"/>
              <w:spacing w:before="0" w:after="0"/>
              <w:jc w:val="center"/>
              <w:rPr>
                <w:spacing w:val="0"/>
              </w:rPr>
            </w:pPr>
            <w:r>
              <w:rPr>
                <w:spacing w:val="0"/>
              </w:rPr>
              <w:t>   </w:t>
            </w:r>
            <w:r>
              <w:rPr>
                <w:b/>
                <w:spacing w:val="0"/>
              </w:rPr>
              <w:t>2026   </w:t>
            </w:r>
          </w:p>
        </w:tc>
        <w:tc>
          <w:tcPr>
            <w:tcW w:w="174"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419" w:type="dxa"/>
            <w:gridSpan w:val="2"/>
            <w:tcBorders/>
            <w:vAlign w:val="center"/>
          </w:tcPr>
          <w:p>
            <w:pPr>
              <w:pStyle w:val="TableContents"/>
              <w:bidi w:val="0"/>
              <w:spacing w:before="0" w:after="0"/>
              <w:jc w:val="center"/>
              <w:rPr>
                <w:spacing w:val="0"/>
              </w:rPr>
            </w:pPr>
            <w:r>
              <w:rPr>
                <w:spacing w:val="0"/>
              </w:rPr>
              <w:t>   </w:t>
            </w:r>
            <w:r>
              <w:rPr>
                <w:b/>
                <w:spacing w:val="0"/>
              </w:rPr>
              <w:t>2025   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9" w:type="dxa"/>
            <w:gridSpan w:val="2"/>
            <w:tcBorders/>
            <w:vAlign w:val="center"/>
          </w:tcPr>
          <w:p>
            <w:pPr>
              <w:pStyle w:val="TableContents"/>
              <w:bidi w:val="0"/>
              <w:spacing w:before="0" w:after="0"/>
              <w:jc w:val="center"/>
              <w:rPr>
                <w:spacing w:val="0"/>
              </w:rPr>
            </w:pPr>
            <w:r>
              <w:rPr>
                <w:spacing w:val="0"/>
              </w:rPr>
              <w:t>   </w:t>
            </w:r>
            <w:r>
              <w:rPr>
                <w:b/>
                <w:spacing w:val="0"/>
              </w:rPr>
              <w:t>2026   </w:t>
            </w:r>
          </w:p>
        </w:tc>
        <w:tc>
          <w:tcPr>
            <w:tcW w:w="1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418" w:type="dxa"/>
            <w:gridSpan w:val="2"/>
            <w:tcBorders/>
            <w:vAlign w:val="center"/>
          </w:tcPr>
          <w:p>
            <w:pPr>
              <w:pStyle w:val="TableContents"/>
              <w:bidi w:val="0"/>
              <w:spacing w:before="0" w:after="0"/>
              <w:jc w:val="center"/>
              <w:rPr>
                <w:spacing w:val="0"/>
              </w:rPr>
            </w:pPr>
            <w:r>
              <w:rPr>
                <w:spacing w:val="0"/>
              </w:rPr>
              <w:t>   </w:t>
            </w:r>
            <w:r>
              <w:rPr>
                <w:b/>
                <w:spacing w:val="0"/>
              </w:rPr>
              <w:t>2025   </w:t>
            </w:r>
          </w:p>
        </w:tc>
        <w:tc>
          <w:tcPr>
            <w:tcW w:w="177" w:type="dxa"/>
            <w:tcBorders/>
            <w:vAlign w:val="center"/>
          </w:tcPr>
          <w:p>
            <w:pPr>
              <w:pStyle w:val="TableContents"/>
              <w:bidi w:val="0"/>
              <w:spacing w:before="0" w:after="283"/>
              <w:jc w:val="left"/>
              <w:rPr/>
            </w:pPr>
            <w:r>
              <w:rPr/>
              <w:t> </w:t>
            </w:r>
          </w:p>
        </w:tc>
      </w:tr>
      <w:tr>
        <w:trPr/>
        <w:tc>
          <w:tcPr>
            <w:tcW w:w="326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47" w:type="dxa"/>
            <w:gridSpan w:val="14"/>
            <w:tcBorders/>
            <w:vAlign w:val="center"/>
          </w:tcPr>
          <w:p>
            <w:pPr>
              <w:pStyle w:val="TableContents"/>
              <w:bidi w:val="0"/>
              <w:spacing w:before="0" w:after="0"/>
              <w:jc w:val="center"/>
              <w:rPr>
                <w:b/>
                <w:spacing w:val="0"/>
              </w:rPr>
            </w:pPr>
            <w:r>
              <w:rPr>
                <w:b/>
                <w:spacing w:val="0"/>
              </w:rPr>
              <w:t>(in thousands, except per share data)</w:t>
            </w:r>
          </w:p>
        </w:tc>
        <w:tc>
          <w:tcPr>
            <w:tcW w:w="177" w:type="dxa"/>
            <w:tcBorders/>
            <w:vAlign w:val="center"/>
          </w:tcPr>
          <w:p>
            <w:pPr>
              <w:pStyle w:val="TableContents"/>
              <w:bidi w:val="0"/>
              <w:spacing w:before="0" w:after="283"/>
              <w:jc w:val="left"/>
              <w:rPr/>
            </w:pPr>
            <w:r>
              <w:rPr/>
              <w:t> </w:t>
            </w:r>
          </w:p>
        </w:tc>
      </w:tr>
      <w:tr>
        <w:trPr/>
        <w:tc>
          <w:tcPr>
            <w:tcW w:w="326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9" w:type="dxa"/>
            <w:gridSpan w:val="2"/>
            <w:tcBorders/>
            <w:vAlign w:val="center"/>
          </w:tcPr>
          <w:p>
            <w:pPr>
              <w:pStyle w:val="TableContents"/>
              <w:bidi w:val="0"/>
              <w:spacing w:before="0" w:after="0"/>
              <w:jc w:val="center"/>
              <w:rPr>
                <w:b/>
                <w:spacing w:val="0"/>
              </w:rPr>
            </w:pPr>
            <w:r>
              <w:rPr>
                <w:b/>
                <w:spacing w:val="0"/>
              </w:rPr>
              <w:t>£</w:t>
            </w:r>
          </w:p>
        </w:tc>
        <w:tc>
          <w:tcPr>
            <w:tcW w:w="174"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419" w:type="dxa"/>
            <w:gridSpan w:val="2"/>
            <w:tcBorders/>
            <w:vAlign w:val="center"/>
          </w:tcPr>
          <w:p>
            <w:pPr>
              <w:pStyle w:val="TableContents"/>
              <w:bidi w:val="0"/>
              <w:spacing w:before="0" w:after="0"/>
              <w:jc w:val="center"/>
              <w:rPr>
                <w:b/>
                <w:spacing w:val="0"/>
              </w:rPr>
            </w:pPr>
            <w:r>
              <w:rPr>
                <w:b/>
                <w:spacing w:val="0"/>
              </w:rPr>
              <w:t>£</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9" w:type="dxa"/>
            <w:gridSpan w:val="2"/>
            <w:tcBorders/>
            <w:vAlign w:val="center"/>
          </w:tcPr>
          <w:p>
            <w:pPr>
              <w:pStyle w:val="TableContents"/>
              <w:bidi w:val="0"/>
              <w:spacing w:before="0" w:after="0"/>
              <w:jc w:val="center"/>
              <w:rPr>
                <w:b/>
                <w:spacing w:val="0"/>
              </w:rPr>
            </w:pPr>
            <w:r>
              <w:rPr>
                <w:b/>
                <w:spacing w:val="0"/>
              </w:rPr>
              <w:t>£</w:t>
            </w:r>
          </w:p>
        </w:tc>
        <w:tc>
          <w:tcPr>
            <w:tcW w:w="1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418" w:type="dxa"/>
            <w:gridSpan w:val="2"/>
            <w:tcBorders/>
            <w:vAlign w:val="center"/>
          </w:tcPr>
          <w:p>
            <w:pPr>
              <w:pStyle w:val="TableContents"/>
              <w:bidi w:val="0"/>
              <w:spacing w:before="0" w:after="0"/>
              <w:jc w:val="center"/>
              <w:rPr>
                <w:b/>
                <w:spacing w:val="0"/>
              </w:rPr>
            </w:pPr>
            <w:r>
              <w:rPr>
                <w:b/>
                <w:spacing w:val="0"/>
              </w:rPr>
              <w:t>£</w:t>
            </w:r>
          </w:p>
        </w:tc>
        <w:tc>
          <w:tcPr>
            <w:tcW w:w="177" w:type="dxa"/>
            <w:tcBorders/>
            <w:vAlign w:val="center"/>
          </w:tcPr>
          <w:p>
            <w:pPr>
              <w:pStyle w:val="TableContents"/>
              <w:bidi w:val="0"/>
              <w:spacing w:before="0" w:after="283"/>
              <w:jc w:val="left"/>
              <w:rPr/>
            </w:pPr>
            <w:r>
              <w:rPr/>
              <w:t> </w:t>
            </w:r>
          </w:p>
        </w:tc>
      </w:tr>
      <w:tr>
        <w:trPr/>
        <w:tc>
          <w:tcPr>
            <w:tcW w:w="3261"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Loss for the period</w:t>
            </w:r>
          </w:p>
        </w:tc>
        <w:tc>
          <w:tcPr>
            <w:tcW w:w="12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394" w:type="dxa"/>
            <w:tcBorders/>
            <w:shd w:fill="CCEEFF" w:val="clear"/>
            <w:vAlign w:val="center"/>
          </w:tcPr>
          <w:p>
            <w:pPr>
              <w:pStyle w:val="TableContents"/>
              <w:bidi w:val="0"/>
              <w:spacing w:before="0" w:after="283"/>
              <w:jc w:val="right"/>
              <w:rPr/>
            </w:pPr>
            <w:r>
              <w:rPr/>
              <w:t>(3,080</w:t>
            </w:r>
          </w:p>
        </w:tc>
        <w:tc>
          <w:tcPr>
            <w:tcW w:w="174"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8" w:type="dxa"/>
            <w:tcBorders/>
            <w:shd w:fill="CCEEFF" w:val="clear"/>
            <w:vAlign w:val="center"/>
          </w:tcPr>
          <w:p>
            <w:pPr>
              <w:pStyle w:val="TableContents"/>
              <w:bidi w:val="0"/>
              <w:spacing w:before="0" w:after="283"/>
              <w:jc w:val="right"/>
              <w:rPr/>
            </w:pPr>
            <w:r>
              <w:rPr/>
              <w:t>(24,114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395" w:type="dxa"/>
            <w:tcBorders/>
            <w:shd w:fill="CCEEFF" w:val="clear"/>
            <w:vAlign w:val="center"/>
          </w:tcPr>
          <w:p>
            <w:pPr>
              <w:pStyle w:val="TableContents"/>
              <w:bidi w:val="0"/>
              <w:spacing w:before="0" w:after="283"/>
              <w:jc w:val="right"/>
              <w:rPr/>
            </w:pPr>
            <w:r>
              <w:rPr/>
              <w:t>(6,945</w:t>
            </w:r>
          </w:p>
        </w:tc>
        <w:tc>
          <w:tcPr>
            <w:tcW w:w="163"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338" w:type="dxa"/>
            <w:tcBorders/>
            <w:shd w:fill="CCEEFF" w:val="clear"/>
            <w:vAlign w:val="center"/>
          </w:tcPr>
          <w:p>
            <w:pPr>
              <w:pStyle w:val="TableContents"/>
              <w:bidi w:val="0"/>
              <w:spacing w:before="0" w:after="283"/>
              <w:jc w:val="right"/>
              <w:rPr/>
            </w:pPr>
            <w:r>
              <w:rPr/>
              <w:t>(26,587</w:t>
            </w:r>
          </w:p>
        </w:tc>
        <w:tc>
          <w:tcPr>
            <w:tcW w:w="177" w:type="dxa"/>
            <w:tcBorders/>
            <w:shd w:fill="CCEEFF" w:val="clear"/>
            <w:vAlign w:val="center"/>
          </w:tcPr>
          <w:p>
            <w:pPr>
              <w:pStyle w:val="TableContents"/>
              <w:bidi w:val="0"/>
              <w:spacing w:before="0" w:after="283"/>
              <w:jc w:val="left"/>
              <w:rPr/>
            </w:pPr>
            <w:r>
              <w:rPr/>
              <w:t>) </w:t>
            </w:r>
          </w:p>
        </w:tc>
      </w:tr>
      <w:tr>
        <w:trPr/>
        <w:tc>
          <w:tcPr>
            <w:tcW w:w="326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9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4"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3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3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7" w:type="dxa"/>
            <w:tcBorders/>
            <w:vAlign w:val="center"/>
          </w:tcPr>
          <w:p>
            <w:pPr>
              <w:pStyle w:val="TableContents"/>
              <w:bidi w:val="0"/>
              <w:spacing w:before="0" w:after="283"/>
              <w:jc w:val="left"/>
              <w:rPr/>
            </w:pPr>
            <w:r>
              <w:rPr/>
              <w:t> </w:t>
            </w:r>
          </w:p>
        </w:tc>
      </w:tr>
      <w:tr>
        <w:trPr/>
        <w:tc>
          <w:tcPr>
            <w:tcW w:w="3261"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Basic and diluted weighted average number of ordinary shares</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394" w:type="dxa"/>
            <w:tcBorders/>
            <w:vAlign w:val="center"/>
          </w:tcPr>
          <w:p>
            <w:pPr>
              <w:pStyle w:val="TableContents"/>
              <w:bidi w:val="0"/>
              <w:spacing w:before="0" w:after="283"/>
              <w:jc w:val="right"/>
              <w:rPr/>
            </w:pPr>
            <w:r>
              <w:rPr/>
              <w:t>20,928,149</w:t>
            </w:r>
          </w:p>
        </w:tc>
        <w:tc>
          <w:tcPr>
            <w:tcW w:w="174"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338" w:type="dxa"/>
            <w:tcBorders/>
            <w:vAlign w:val="center"/>
          </w:tcPr>
          <w:p>
            <w:pPr>
              <w:pStyle w:val="TableContents"/>
              <w:bidi w:val="0"/>
              <w:spacing w:before="0" w:after="283"/>
              <w:jc w:val="right"/>
              <w:rPr/>
            </w:pPr>
            <w:r>
              <w:rPr/>
              <w:t>5,173,376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395" w:type="dxa"/>
            <w:tcBorders/>
            <w:vAlign w:val="center"/>
          </w:tcPr>
          <w:p>
            <w:pPr>
              <w:pStyle w:val="TableContents"/>
              <w:bidi w:val="0"/>
              <w:spacing w:before="0" w:after="283"/>
              <w:jc w:val="right"/>
              <w:rPr/>
            </w:pPr>
            <w:r>
              <w:rPr/>
              <w:t>20,869,329</w:t>
            </w:r>
          </w:p>
        </w:tc>
        <w:tc>
          <w:tcPr>
            <w:tcW w:w="1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338" w:type="dxa"/>
            <w:tcBorders/>
            <w:vAlign w:val="center"/>
          </w:tcPr>
          <w:p>
            <w:pPr>
              <w:pStyle w:val="TableContents"/>
              <w:bidi w:val="0"/>
              <w:spacing w:before="0" w:after="283"/>
              <w:jc w:val="right"/>
              <w:rPr/>
            </w:pPr>
            <w:r>
              <w:rPr/>
              <w:t>2,676,461</w:t>
            </w:r>
          </w:p>
        </w:tc>
        <w:tc>
          <w:tcPr>
            <w:tcW w:w="177" w:type="dxa"/>
            <w:tcBorders/>
            <w:vAlign w:val="center"/>
          </w:tcPr>
          <w:p>
            <w:pPr>
              <w:pStyle w:val="TableContents"/>
              <w:bidi w:val="0"/>
              <w:spacing w:before="0" w:after="283"/>
              <w:jc w:val="left"/>
              <w:rPr/>
            </w:pPr>
            <w:r>
              <w:rPr/>
              <w:t> </w:t>
            </w:r>
          </w:p>
        </w:tc>
      </w:tr>
      <w:tr>
        <w:trPr/>
        <w:tc>
          <w:tcPr>
            <w:tcW w:w="3261"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Basic and diluted loss per ordinary share</w:t>
            </w:r>
          </w:p>
        </w:tc>
        <w:tc>
          <w:tcPr>
            <w:tcW w:w="12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394" w:type="dxa"/>
            <w:tcBorders/>
            <w:shd w:fill="CCEEFF" w:val="clear"/>
            <w:vAlign w:val="center"/>
          </w:tcPr>
          <w:p>
            <w:pPr>
              <w:pStyle w:val="TableContents"/>
              <w:bidi w:val="0"/>
              <w:spacing w:before="0" w:after="283"/>
              <w:jc w:val="right"/>
              <w:rPr/>
            </w:pPr>
            <w:r>
              <w:rPr/>
              <w:t>(0.00</w:t>
            </w:r>
          </w:p>
        </w:tc>
        <w:tc>
          <w:tcPr>
            <w:tcW w:w="174"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38" w:type="dxa"/>
            <w:tcBorders/>
            <w:shd w:fill="CCEEFF" w:val="clear"/>
            <w:vAlign w:val="center"/>
          </w:tcPr>
          <w:p>
            <w:pPr>
              <w:pStyle w:val="TableContents"/>
              <w:bidi w:val="0"/>
              <w:spacing w:before="0" w:after="283"/>
              <w:jc w:val="right"/>
              <w:rPr/>
            </w:pPr>
            <w:r>
              <w:rPr/>
              <w:t>(0.00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395" w:type="dxa"/>
            <w:tcBorders/>
            <w:shd w:fill="CCEEFF" w:val="clear"/>
            <w:vAlign w:val="center"/>
          </w:tcPr>
          <w:p>
            <w:pPr>
              <w:pStyle w:val="TableContents"/>
              <w:bidi w:val="0"/>
              <w:spacing w:before="0" w:after="283"/>
              <w:jc w:val="right"/>
              <w:rPr/>
            </w:pPr>
            <w:r>
              <w:rPr/>
              <w:t>(0.00</w:t>
            </w:r>
          </w:p>
        </w:tc>
        <w:tc>
          <w:tcPr>
            <w:tcW w:w="163"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338" w:type="dxa"/>
            <w:tcBorders/>
            <w:shd w:fill="CCEEFF" w:val="clear"/>
            <w:vAlign w:val="center"/>
          </w:tcPr>
          <w:p>
            <w:pPr>
              <w:pStyle w:val="TableContents"/>
              <w:bidi w:val="0"/>
              <w:spacing w:before="0" w:after="283"/>
              <w:jc w:val="right"/>
              <w:rPr/>
            </w:pPr>
            <w:r>
              <w:rPr/>
              <w:t>(0.01</w:t>
            </w:r>
          </w:p>
        </w:tc>
        <w:tc>
          <w:tcPr>
            <w:tcW w:w="177" w:type="dxa"/>
            <w:tcBorders/>
            <w:shd w:fill="CCEEFF" w:val="clear"/>
            <w:vAlign w:val="center"/>
          </w:tcPr>
          <w:p>
            <w:pPr>
              <w:pStyle w:val="TableContents"/>
              <w:bidi w:val="0"/>
              <w:spacing w:before="0" w:after="283"/>
              <w:jc w:val="left"/>
              <w:rPr/>
            </w:pPr>
            <w:r>
              <w:rPr/>
              <w:t>) </w:t>
            </w:r>
          </w:p>
        </w:tc>
      </w:tr>
      <w:tr>
        <w:trPr/>
        <w:tc>
          <w:tcPr>
            <w:tcW w:w="326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9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4"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3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3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Basic loss per ordinary share is calculated by dividing the loss for the period attributable to the equity holders of the Company by the weighted average number of ordinary shares outstanding during the period.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potential ordinary shares issued through equity settled transactions were considered to be anti-dilutive as they would have decreased the loss per ordinary share and were therefore excluded from the calculation of diluted loss per ordinary share.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6. Intangible assets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Intangible assets comprise patents with a carrying value of £2.2 million as of June 30, 2026 (as of December 31, 2025: £2.2 million).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During the six months ended June 30, 2026, the Company acquired intangible assets with a cost of £0.1 million in relation to patents.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7. Cash and cash equivalents </w:t>
      </w:r>
    </w:p>
    <w:p>
      <w:pPr>
        <w:pStyle w:val="TextBody"/>
        <w:bidi w:val="0"/>
        <w:spacing w:before="0" w:after="0"/>
        <w:jc w:val="left"/>
        <w:rPr>
          <w:spacing w:val="0"/>
        </w:rPr>
      </w:pPr>
      <w:r>
        <w:rPr>
          <w:spacing w:val="0"/>
        </w:rPr>
        <w:t> </w:t>
      </w:r>
    </w:p>
    <w:tbl>
      <w:tblPr>
        <w:tblW w:w="6523" w:type="dxa"/>
        <w:jc w:val="left"/>
        <w:tblInd w:w="0" w:type="dxa"/>
        <w:tblLayout w:type="fixed"/>
        <w:tblCellMar>
          <w:top w:w="0" w:type="dxa"/>
          <w:left w:w="0" w:type="dxa"/>
          <w:bottom w:w="0" w:type="dxa"/>
          <w:right w:w="0" w:type="dxa"/>
        </w:tblCellMar>
      </w:tblPr>
      <w:tblGrid>
        <w:gridCol w:w="2180"/>
        <w:gridCol w:w="120"/>
        <w:gridCol w:w="168"/>
        <w:gridCol w:w="1906"/>
        <w:gridCol w:w="60"/>
        <w:gridCol w:w="120"/>
        <w:gridCol w:w="152"/>
        <w:gridCol w:w="1742"/>
        <w:gridCol w:w="75"/>
      </w:tblGrid>
      <w:tr>
        <w:trPr/>
        <w:tc>
          <w:tcPr>
            <w:tcW w:w="21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1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74" w:type="dxa"/>
            <w:gridSpan w:val="2"/>
            <w:tcBorders/>
            <w:vAlign w:val="center"/>
          </w:tcPr>
          <w:p>
            <w:pPr>
              <w:pStyle w:val="TableContents"/>
              <w:bidi w:val="0"/>
              <w:spacing w:before="0" w:after="0"/>
              <w:jc w:val="center"/>
              <w:rPr>
                <w:spacing w:val="0"/>
              </w:rPr>
            </w:pPr>
            <w:r>
              <w:rPr>
                <w:spacing w:val="0"/>
              </w:rPr>
              <w:t>   </w:t>
            </w:r>
            <w:r>
              <w:rPr>
                <w:b/>
                <w:spacing w:val="0"/>
              </w:rPr>
              <w:t>June 30,   </w:t>
            </w:r>
          </w:p>
          <w:p>
            <w:pPr>
              <w:pStyle w:val="TableContents"/>
              <w:bidi w:val="0"/>
              <w:spacing w:before="0" w:after="0"/>
              <w:jc w:val="center"/>
              <w:rPr/>
            </w:pPr>
            <w:r>
              <w:rPr/>
            </w:r>
          </w:p>
          <w:p>
            <w:pPr>
              <w:pStyle w:val="TableContents"/>
              <w:bidi w:val="0"/>
              <w:spacing w:before="0" w:after="0"/>
              <w:jc w:val="center"/>
              <w:rPr>
                <w:b/>
                <w:spacing w:val="0"/>
              </w:rPr>
            </w:pPr>
            <w:r>
              <w:rPr>
                <w:b/>
                <w:spacing w:val="0"/>
              </w:rPr>
              <w:t>2026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4" w:type="dxa"/>
            <w:gridSpan w:val="2"/>
            <w:tcBorders/>
            <w:vAlign w:val="center"/>
          </w:tcPr>
          <w:p>
            <w:pPr>
              <w:pStyle w:val="TableContents"/>
              <w:bidi w:val="0"/>
              <w:spacing w:before="0" w:after="0"/>
              <w:jc w:val="center"/>
              <w:rPr>
                <w:spacing w:val="0"/>
              </w:rPr>
            </w:pPr>
            <w:r>
              <w:rPr>
                <w:spacing w:val="0"/>
              </w:rPr>
              <w:t> </w:t>
            </w:r>
            <w:r>
              <w:rPr>
                <w:b/>
                <w:spacing w:val="0"/>
              </w:rPr>
              <w:t>December 31, </w:t>
            </w:r>
          </w:p>
          <w:p>
            <w:pPr>
              <w:pStyle w:val="TableContents"/>
              <w:bidi w:val="0"/>
              <w:spacing w:before="0" w:after="0"/>
              <w:jc w:val="center"/>
              <w:rPr/>
            </w:pPr>
            <w:r>
              <w:rPr/>
            </w:r>
          </w:p>
          <w:p>
            <w:pPr>
              <w:pStyle w:val="TableContents"/>
              <w:bidi w:val="0"/>
              <w:spacing w:before="0" w:after="0"/>
              <w:jc w:val="center"/>
              <w:rPr>
                <w:b/>
                <w:spacing w:val="0"/>
              </w:rPr>
            </w:pPr>
            <w:r>
              <w:rPr>
                <w:b/>
                <w:spacing w:val="0"/>
              </w:rPr>
              <w:t>2025</w:t>
            </w:r>
          </w:p>
        </w:tc>
        <w:tc>
          <w:tcPr>
            <w:tcW w:w="75" w:type="dxa"/>
            <w:tcBorders/>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148" w:type="dxa"/>
            <w:gridSpan w:val="6"/>
            <w:tcBorders/>
            <w:vAlign w:val="center"/>
          </w:tcPr>
          <w:p>
            <w:pPr>
              <w:pStyle w:val="TableContents"/>
              <w:bidi w:val="0"/>
              <w:spacing w:before="0" w:after="0"/>
              <w:jc w:val="center"/>
              <w:rPr>
                <w:b/>
                <w:spacing w:val="0"/>
              </w:rPr>
            </w:pPr>
            <w:r>
              <w:rPr>
                <w:b/>
                <w:spacing w:val="0"/>
              </w:rPr>
              <w:t>(in thousands)</w:t>
            </w:r>
          </w:p>
        </w:tc>
        <w:tc>
          <w:tcPr>
            <w:tcW w:w="75" w:type="dxa"/>
            <w:tcBorders/>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74" w:type="dxa"/>
            <w:gridSpan w:val="2"/>
            <w:tcBorders/>
            <w:vAlign w:val="center"/>
          </w:tcPr>
          <w:p>
            <w:pPr>
              <w:pStyle w:val="TableContents"/>
              <w:bidi w:val="0"/>
              <w:spacing w:before="0" w:after="0"/>
              <w:jc w:val="center"/>
              <w:rPr>
                <w:b/>
                <w:spacing w:val="0"/>
              </w:rPr>
            </w:pPr>
            <w:r>
              <w:rPr>
                <w:b/>
                <w:spacing w:val="0"/>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4" w:type="dxa"/>
            <w:gridSpan w:val="2"/>
            <w:tcBorders/>
            <w:vAlign w:val="center"/>
          </w:tcPr>
          <w:p>
            <w:pPr>
              <w:pStyle w:val="TableContents"/>
              <w:bidi w:val="0"/>
              <w:spacing w:before="0" w:after="0"/>
              <w:jc w:val="center"/>
              <w:rPr>
                <w:b/>
                <w:spacing w:val="0"/>
              </w:rPr>
            </w:pPr>
            <w:r>
              <w:rPr>
                <w:b/>
                <w:spacing w:val="0"/>
              </w:rPr>
              <w:t>£</w:t>
            </w:r>
          </w:p>
        </w:tc>
        <w:tc>
          <w:tcPr>
            <w:tcW w:w="75" w:type="dxa"/>
            <w:tcBorders/>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and cash equivalents</w:t>
            </w:r>
          </w:p>
        </w:tc>
        <w:tc>
          <w:tcPr>
            <w:tcW w:w="12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906" w:type="dxa"/>
            <w:tcBorders/>
            <w:shd w:fill="CCEEFF" w:val="clear"/>
            <w:vAlign w:val="center"/>
          </w:tcPr>
          <w:p>
            <w:pPr>
              <w:pStyle w:val="TableContents"/>
              <w:bidi w:val="0"/>
              <w:spacing w:before="0" w:after="283"/>
              <w:jc w:val="right"/>
              <w:rPr/>
            </w:pPr>
            <w:r>
              <w:rPr/>
              <w:t>19,503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742" w:type="dxa"/>
            <w:tcBorders/>
            <w:shd w:fill="CCEEFF" w:val="clear"/>
            <w:vAlign w:val="center"/>
          </w:tcPr>
          <w:p>
            <w:pPr>
              <w:pStyle w:val="TableContents"/>
              <w:bidi w:val="0"/>
              <w:spacing w:before="0" w:after="283"/>
              <w:jc w:val="right"/>
              <w:rPr/>
            </w:pPr>
            <w:r>
              <w:rPr/>
              <w:t>24,251</w:t>
            </w:r>
          </w:p>
        </w:tc>
        <w:tc>
          <w:tcPr>
            <w:tcW w:w="75" w:type="dxa"/>
            <w:tcBorders/>
            <w:shd w:fill="CCEEFF" w:val="clear"/>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90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4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Cash and cash equivalents comprise cash at banks with deposit maturity terms of three months or less. Cash at banks earns interest at fixed or variable rates based on the terms agreed for each account.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8. Share-based payments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has six share-based payment plans for employees, directors and consultants. The share options granted will be settled in equity. If the Company determines, and at its discretion, an arrangement may be made under the 2020 Long-Term Incentive Plan to substitute the right to acquire shares with a cash alternative of equivalent value. Options granted under each of the six plans have a maximum life of 10 years.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As detailed in the table below, during the six months ended June 30, 2026, 4,121 million share options were granted under the 2020 Long-Term Incentive Plan (six months ended June 30, 2025: 3,478 million). Options granted under this plan will vest if the option holder remains under respective contract of employment or contract of service for the agreed vesting period. The share options granted in the period will vest over a period of up to four years.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The fair values of options granted were determined using the Black-Scholes model that takes into account factors specific to the share incentive plan such as the assumption that the options are exercised at a point in time of up to two years after vesting. This has been incorporated into the measurement by means of actuarial modelling. </w:t>
      </w:r>
    </w:p>
    <w:p>
      <w:pPr>
        <w:pStyle w:val="TextBody"/>
        <w:bidi w:val="0"/>
        <w:spacing w:before="0" w:after="0"/>
        <w:jc w:val="left"/>
        <w:rPr>
          <w:spacing w:val="0"/>
        </w:rPr>
      </w:pPr>
      <w:r>
        <w:rPr>
          <w:spacing w:val="0"/>
        </w:rPr>
        <w:t> </w:t>
      </w:r>
    </w:p>
    <w:tbl>
      <w:tblPr>
        <w:tblW w:w="9090" w:type="dxa"/>
        <w:jc w:val="left"/>
        <w:tblInd w:w="0" w:type="dxa"/>
        <w:tblLayout w:type="fixed"/>
        <w:tblCellMar>
          <w:top w:w="0" w:type="dxa"/>
          <w:left w:w="0" w:type="dxa"/>
          <w:bottom w:w="0" w:type="dxa"/>
          <w:right w:w="0" w:type="dxa"/>
        </w:tblCellMar>
      </w:tblPr>
      <w:tblGrid>
        <w:gridCol w:w="2690"/>
        <w:gridCol w:w="120"/>
        <w:gridCol w:w="140"/>
        <w:gridCol w:w="1400"/>
        <w:gridCol w:w="275"/>
        <w:gridCol w:w="60"/>
        <w:gridCol w:w="130"/>
        <w:gridCol w:w="130"/>
        <w:gridCol w:w="60"/>
        <w:gridCol w:w="120"/>
        <w:gridCol w:w="140"/>
        <w:gridCol w:w="1220"/>
        <w:gridCol w:w="275"/>
        <w:gridCol w:w="60"/>
        <w:gridCol w:w="130"/>
        <w:gridCol w:w="130"/>
        <w:gridCol w:w="60"/>
        <w:gridCol w:w="120"/>
        <w:gridCol w:w="140"/>
        <w:gridCol w:w="1400"/>
        <w:gridCol w:w="290"/>
      </w:tblGrid>
      <w:tr>
        <w:trPr/>
        <w:tc>
          <w:tcPr>
            <w:tcW w:w="2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690" w:type="dxa"/>
            <w:tcBorders/>
            <w:vAlign w:val="center"/>
          </w:tcPr>
          <w:p>
            <w:pPr>
              <w:pStyle w:val="TableContents"/>
              <w:bidi w:val="0"/>
              <w:spacing w:before="0" w:after="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Grant date</w:t>
            </w:r>
          </w:p>
        </w:tc>
        <w:tc>
          <w:tcPr>
            <w:tcW w:w="120" w:type="dxa"/>
            <w:tcBorders/>
            <w:vAlign w:val="center"/>
          </w:tcPr>
          <w:p>
            <w:pPr>
              <w:pStyle w:val="TableContents"/>
              <w:bidi w:val="0"/>
              <w:spacing w:before="0" w:after="283"/>
              <w:jc w:val="left"/>
              <w:rPr/>
            </w:pPr>
            <w:r>
              <w:rPr/>
              <w:t>  </w:t>
            </w:r>
          </w:p>
        </w:tc>
        <w:tc>
          <w:tcPr>
            <w:tcW w:w="1540" w:type="dxa"/>
            <w:gridSpan w:val="2"/>
            <w:tcBorders/>
            <w:vAlign w:val="center"/>
          </w:tcPr>
          <w:p>
            <w:pPr>
              <w:pStyle w:val="TableContents"/>
              <w:bidi w:val="0"/>
              <w:spacing w:before="0" w:after="0"/>
              <w:jc w:val="center"/>
              <w:rPr>
                <w:b/>
                <w:spacing w:val="0"/>
              </w:rPr>
            </w:pPr>
            <w:r>
              <w:rPr>
                <w:b/>
                <w:spacing w:val="0"/>
              </w:rPr>
              <w:t>Jan-14-2026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gridSpan w:val="2"/>
            <w:tcBorders/>
            <w:vAlign w:val="center"/>
          </w:tcPr>
          <w:p>
            <w:pPr>
              <w:pStyle w:val="TableContents"/>
              <w:bidi w:val="0"/>
              <w:spacing w:before="0" w:after="0"/>
              <w:jc w:val="center"/>
              <w:rPr>
                <w:spacing w:val="0"/>
              </w:rPr>
            </w:pPr>
            <w:r>
              <w:rPr>
                <w:spacing w:val="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0"/>
              <w:jc w:val="center"/>
              <w:rPr>
                <w:b/>
                <w:spacing w:val="0"/>
              </w:rPr>
            </w:pPr>
            <w:r>
              <w:rPr>
                <w:b/>
                <w:spacing w:val="0"/>
              </w:rPr>
              <w:t>Jan-14-2026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gridSpan w:val="2"/>
            <w:tcBorders/>
            <w:vAlign w:val="center"/>
          </w:tcPr>
          <w:p>
            <w:pPr>
              <w:pStyle w:val="TableContents"/>
              <w:bidi w:val="0"/>
              <w:spacing w:before="0" w:after="0"/>
              <w:jc w:val="center"/>
              <w:rPr>
                <w:spacing w:val="0"/>
              </w:rPr>
            </w:pPr>
            <w:r>
              <w:rPr>
                <w:spacing w:val="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0" w:type="dxa"/>
            <w:gridSpan w:val="2"/>
            <w:tcBorders/>
            <w:vAlign w:val="center"/>
          </w:tcPr>
          <w:p>
            <w:pPr>
              <w:pStyle w:val="TableContents"/>
              <w:bidi w:val="0"/>
              <w:spacing w:before="0" w:after="0"/>
              <w:jc w:val="center"/>
              <w:rPr>
                <w:b/>
                <w:spacing w:val="0"/>
              </w:rPr>
            </w:pPr>
            <w:r>
              <w:rPr>
                <w:b/>
                <w:spacing w:val="0"/>
              </w:rPr>
              <w:t>Jan-14-2026</w:t>
            </w:r>
          </w:p>
        </w:tc>
        <w:tc>
          <w:tcPr>
            <w:tcW w:w="290" w:type="dxa"/>
            <w:tcBorders/>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Vesting dates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0"/>
              <w:jc w:val="right"/>
              <w:rPr>
                <w:spacing w:val="0"/>
              </w:rPr>
            </w:pPr>
            <w:r>
              <w:rPr>
                <w:spacing w:val="0"/>
              </w:rPr>
              <w:t>Jan-14-2026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0"/>
              <w:jc w:val="right"/>
              <w:rPr>
                <w:spacing w:val="0"/>
              </w:rPr>
            </w:pPr>
            <w:r>
              <w:rPr>
                <w:spacing w:val="0"/>
              </w:rPr>
              <w:t>Jan-14-2027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0"/>
              <w:jc w:val="right"/>
              <w:rPr>
                <w:spacing w:val="0"/>
              </w:rPr>
            </w:pPr>
            <w:r>
              <w:rPr>
                <w:spacing w:val="0"/>
              </w:rPr>
              <w:t>Jan-14-2027</w:t>
            </w:r>
          </w:p>
        </w:tc>
        <w:tc>
          <w:tcPr>
            <w:tcW w:w="290" w:type="dxa"/>
            <w:tcBorders/>
            <w:shd w:fill="CCEEFF" w:val="clear"/>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0"/>
              <w:jc w:val="right"/>
              <w:rPr>
                <w:spacing w:val="0"/>
              </w:rPr>
            </w:pPr>
            <w:r>
              <w:rPr>
                <w:spacing w:val="0"/>
              </w:rPr>
              <w:t>Jan-14-2028</w:t>
            </w:r>
          </w:p>
        </w:tc>
        <w:tc>
          <w:tcPr>
            <w:tcW w:w="290" w:type="dxa"/>
            <w:tcBorders/>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0"/>
              <w:jc w:val="right"/>
              <w:rPr>
                <w:spacing w:val="0"/>
              </w:rPr>
            </w:pPr>
            <w:r>
              <w:rPr>
                <w:spacing w:val="0"/>
              </w:rPr>
              <w:t>Jan-14-2029</w:t>
            </w:r>
          </w:p>
        </w:tc>
        <w:tc>
          <w:tcPr>
            <w:tcW w:w="290" w:type="dxa"/>
            <w:tcBorders/>
            <w:shd w:fill="CCEEFF" w:val="clear"/>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0"/>
              <w:jc w:val="right"/>
              <w:rPr>
                <w:spacing w:val="0"/>
              </w:rPr>
            </w:pPr>
            <w:r>
              <w:rPr>
                <w:spacing w:val="0"/>
              </w:rPr>
              <w:t>Jan-14-2030</w:t>
            </w:r>
          </w:p>
        </w:tc>
        <w:tc>
          <w:tcPr>
            <w:tcW w:w="290" w:type="dxa"/>
            <w:tcBorders/>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Volatility</w:t>
            </w:r>
          </w:p>
          <w:p>
            <w:pPr>
              <w:pStyle w:val="TableContents"/>
              <w:bidi w:val="0"/>
              <w:spacing w:before="0" w:after="0"/>
              <w:jc w:val="left"/>
              <w:rPr>
                <w:rFonts w:ascii="Times New Roman" w:hAnsi="Times New Roman"/>
                <w:spacing w:val="0"/>
                <w:sz w:val="12"/>
              </w:rPr>
            </w:pPr>
            <w:r>
              <w:rPr>
                <w:rFonts w:ascii="Times New Roman" w:hAnsi="Times New Roman"/>
                <w:spacing w:val="0"/>
                <w:sz w:val="12"/>
              </w:rPr>
              <w:t>1</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260.56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226.67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193.02</w:t>
            </w:r>
          </w:p>
        </w:tc>
        <w:tc>
          <w:tcPr>
            <w:tcW w:w="290" w:type="dxa"/>
            <w:tcBorders/>
            <w:shd w:fill="CCEEFF" w:val="clear"/>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Dividend yield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0</w:t>
            </w:r>
          </w:p>
        </w:tc>
        <w:tc>
          <w:tcPr>
            <w:tcW w:w="290" w:type="dxa"/>
            <w:tcBorders/>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Risk-free investment rate</w:t>
            </w:r>
          </w:p>
          <w:p>
            <w:pPr>
              <w:pStyle w:val="TableContents"/>
              <w:bidi w:val="0"/>
              <w:spacing w:before="0" w:after="0"/>
              <w:jc w:val="left"/>
              <w:rPr>
                <w:rFonts w:ascii="Times New Roman" w:hAnsi="Times New Roman"/>
                <w:spacing w:val="0"/>
                <w:sz w:val="12"/>
              </w:rPr>
            </w:pPr>
            <w:r>
              <w:rPr>
                <w:rFonts w:ascii="Times New Roman" w:hAnsi="Times New Roman"/>
                <w:spacing w:val="0"/>
                <w:sz w:val="12"/>
              </w:rPr>
              <w:t>1</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3.51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3.53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3.67</w:t>
            </w:r>
          </w:p>
        </w:tc>
        <w:tc>
          <w:tcPr>
            <w:tcW w:w="290" w:type="dxa"/>
            <w:tcBorders/>
            <w:shd w:fill="CCEEFF" w:val="clear"/>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Fair value of option at grant date</w:t>
            </w:r>
          </w:p>
          <w:p>
            <w:pPr>
              <w:pStyle w:val="TableContents"/>
              <w:bidi w:val="0"/>
              <w:spacing w:before="0" w:after="0"/>
              <w:jc w:val="left"/>
              <w:rPr>
                <w:rFonts w:ascii="Times New Roman" w:hAnsi="Times New Roman"/>
                <w:spacing w:val="0"/>
                <w:sz w:val="12"/>
              </w:rPr>
            </w:pPr>
            <w:r>
              <w:rPr>
                <w:rFonts w:ascii="Times New Roman" w:hAnsi="Times New Roman"/>
                <w:spacing w:val="0"/>
                <w:sz w:val="12"/>
              </w:rPr>
              <w:t>1</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jc w:val="right"/>
              <w:rPr/>
            </w:pPr>
            <w:r>
              <w:rPr/>
              <w:t>0.0004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0.0005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jc w:val="right"/>
              <w:rPr/>
            </w:pPr>
            <w:r>
              <w:rPr/>
              <w:t>0.0005</w:t>
            </w:r>
          </w:p>
        </w:tc>
        <w:tc>
          <w:tcPr>
            <w:tcW w:w="290" w:type="dxa"/>
            <w:tcBorders/>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Fair value of share at grant date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400" w:type="dxa"/>
            <w:tcBorders/>
            <w:shd w:fill="CCEEFF" w:val="clear"/>
            <w:vAlign w:val="center"/>
          </w:tcPr>
          <w:p>
            <w:pPr>
              <w:pStyle w:val="TableContents"/>
              <w:bidi w:val="0"/>
              <w:spacing w:before="0" w:after="283"/>
              <w:jc w:val="right"/>
              <w:rPr/>
            </w:pPr>
            <w:r>
              <w:rPr/>
              <w:t>0.0005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0.0005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400" w:type="dxa"/>
            <w:tcBorders/>
            <w:shd w:fill="CCEEFF" w:val="clear"/>
            <w:vAlign w:val="center"/>
          </w:tcPr>
          <w:p>
            <w:pPr>
              <w:pStyle w:val="TableContents"/>
              <w:bidi w:val="0"/>
              <w:spacing w:before="0" w:after="283"/>
              <w:jc w:val="right"/>
              <w:rPr/>
            </w:pPr>
            <w:r>
              <w:rPr/>
              <w:t>0.0005</w:t>
            </w:r>
          </w:p>
        </w:tc>
        <w:tc>
          <w:tcPr>
            <w:tcW w:w="290" w:type="dxa"/>
            <w:tcBorders/>
            <w:shd w:fill="CCEEFF" w:val="clear"/>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Exercise price at date of grant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jc w:val="right"/>
              <w:rPr/>
            </w:pPr>
            <w:r>
              <w:rPr/>
              <w:t>0.0004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0.0004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jc w:val="right"/>
              <w:rPr/>
            </w:pPr>
            <w:r>
              <w:rPr/>
              <w:t>0.0004</w:t>
            </w:r>
          </w:p>
        </w:tc>
        <w:tc>
          <w:tcPr>
            <w:tcW w:w="290" w:type="dxa"/>
            <w:tcBorders/>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Lapse date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0"/>
              <w:jc w:val="right"/>
              <w:rPr>
                <w:spacing w:val="0"/>
              </w:rPr>
            </w:pPr>
            <w:r>
              <w:rPr>
                <w:spacing w:val="0"/>
              </w:rPr>
              <w:t>Jan-14-2036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0"/>
              <w:jc w:val="right"/>
              <w:rPr>
                <w:spacing w:val="0"/>
              </w:rPr>
            </w:pPr>
            <w:r>
              <w:rPr>
                <w:spacing w:val="0"/>
              </w:rPr>
              <w:t>Jan-14-2036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0"/>
              <w:jc w:val="right"/>
              <w:rPr>
                <w:spacing w:val="0"/>
              </w:rPr>
            </w:pPr>
            <w:r>
              <w:rPr>
                <w:spacing w:val="0"/>
              </w:rPr>
              <w:t>Jan-14-2036</w:t>
            </w:r>
          </w:p>
        </w:tc>
        <w:tc>
          <w:tcPr>
            <w:tcW w:w="290" w:type="dxa"/>
            <w:tcBorders/>
            <w:shd w:fill="CCEEFF" w:val="clear"/>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Expected option life (years)</w:t>
            </w:r>
          </w:p>
          <w:p>
            <w:pPr>
              <w:pStyle w:val="TableContents"/>
              <w:bidi w:val="0"/>
              <w:spacing w:before="0" w:after="0"/>
              <w:jc w:val="left"/>
              <w:rPr>
                <w:rFonts w:ascii="Times New Roman" w:hAnsi="Times New Roman"/>
                <w:spacing w:val="0"/>
                <w:sz w:val="12"/>
              </w:rPr>
            </w:pPr>
            <w:r>
              <w:rPr>
                <w:rFonts w:ascii="Times New Roman" w:hAnsi="Times New Roman"/>
                <w:spacing w:val="0"/>
                <w:sz w:val="12"/>
              </w:rPr>
              <w:t>1</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1.0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3.5</w:t>
            </w:r>
          </w:p>
        </w:tc>
        <w:tc>
          <w:tcPr>
            <w:tcW w:w="290" w:type="dxa"/>
            <w:tcBorders/>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Number of options granted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1,951,153,811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174,109,121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1,324,308,581</w:t>
            </w:r>
          </w:p>
        </w:tc>
        <w:tc>
          <w:tcPr>
            <w:tcW w:w="290" w:type="dxa"/>
            <w:tcBorders/>
            <w:shd w:fill="CCEEFF" w:val="clear"/>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90"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tbl>
      <w:tblPr>
        <w:tblW w:w="9380" w:type="dxa"/>
        <w:jc w:val="left"/>
        <w:tblInd w:w="0" w:type="dxa"/>
        <w:tblLayout w:type="fixed"/>
        <w:tblCellMar>
          <w:top w:w="0" w:type="dxa"/>
          <w:left w:w="0" w:type="dxa"/>
          <w:bottom w:w="0" w:type="dxa"/>
          <w:right w:w="0" w:type="dxa"/>
        </w:tblCellMar>
      </w:tblPr>
      <w:tblGrid>
        <w:gridCol w:w="2690"/>
        <w:gridCol w:w="120"/>
        <w:gridCol w:w="140"/>
        <w:gridCol w:w="1220"/>
        <w:gridCol w:w="275"/>
        <w:gridCol w:w="60"/>
        <w:gridCol w:w="130"/>
        <w:gridCol w:w="130"/>
        <w:gridCol w:w="60"/>
        <w:gridCol w:w="120"/>
        <w:gridCol w:w="140"/>
        <w:gridCol w:w="1205"/>
        <w:gridCol w:w="275"/>
        <w:gridCol w:w="60"/>
        <w:gridCol w:w="130"/>
        <w:gridCol w:w="130"/>
        <w:gridCol w:w="60"/>
        <w:gridCol w:w="120"/>
        <w:gridCol w:w="2315"/>
      </w:tblGrid>
      <w:tr>
        <w:trPr/>
        <w:tc>
          <w:tcPr>
            <w:tcW w:w="2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r>
      <w:tr>
        <w:trPr/>
        <w:tc>
          <w:tcPr>
            <w:tcW w:w="2690" w:type="dxa"/>
            <w:tcBorders/>
            <w:vAlign w:val="center"/>
          </w:tcPr>
          <w:p>
            <w:pPr>
              <w:pStyle w:val="TableContents"/>
              <w:bidi w:val="0"/>
              <w:spacing w:before="0" w:after="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Grant date</w:t>
            </w:r>
          </w:p>
        </w:tc>
        <w:tc>
          <w:tcPr>
            <w:tcW w:w="12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0"/>
              <w:jc w:val="center"/>
              <w:rPr>
                <w:b/>
                <w:spacing w:val="0"/>
              </w:rPr>
            </w:pPr>
            <w:r>
              <w:rPr>
                <w:b/>
                <w:spacing w:val="0"/>
              </w:rPr>
              <w:t>Jan-14-2026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gridSpan w:val="2"/>
            <w:tcBorders/>
            <w:vAlign w:val="center"/>
          </w:tcPr>
          <w:p>
            <w:pPr>
              <w:pStyle w:val="TableContents"/>
              <w:bidi w:val="0"/>
              <w:spacing w:before="0" w:after="0"/>
              <w:jc w:val="center"/>
              <w:rPr>
                <w:spacing w:val="0"/>
              </w:rPr>
            </w:pPr>
            <w:r>
              <w:rPr>
                <w:spacing w:val="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45" w:type="dxa"/>
            <w:gridSpan w:val="2"/>
            <w:tcBorders/>
            <w:vAlign w:val="center"/>
          </w:tcPr>
          <w:p>
            <w:pPr>
              <w:pStyle w:val="TableContents"/>
              <w:bidi w:val="0"/>
              <w:spacing w:before="0" w:after="0"/>
              <w:jc w:val="center"/>
              <w:rPr>
                <w:b/>
                <w:spacing w:val="0"/>
              </w:rPr>
            </w:pPr>
            <w:r>
              <w:rPr>
                <w:b/>
                <w:spacing w:val="0"/>
              </w:rPr>
              <w:t>Jan-14-2026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gridSpan w:val="2"/>
            <w:tcBorders/>
            <w:vAlign w:val="center"/>
          </w:tcPr>
          <w:p>
            <w:pPr>
              <w:pStyle w:val="TableContents"/>
              <w:bidi w:val="0"/>
              <w:spacing w:before="0" w:after="0"/>
              <w:jc w:val="center"/>
              <w:rPr>
                <w:spacing w:val="0"/>
              </w:rPr>
            </w:pPr>
            <w:r>
              <w:rPr>
                <w:spacing w:val="0"/>
              </w:rPr>
              <w:t> </w:t>
            </w:r>
          </w:p>
        </w:tc>
        <w:tc>
          <w:tcPr>
            <w:tcW w:w="60" w:type="dxa"/>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2315" w:type="dxa"/>
            <w:vMerge w:val="restart"/>
            <w:tcBorders/>
            <w:vAlign w:val="center"/>
          </w:tcPr>
          <w:p>
            <w:pPr>
              <w:pStyle w:val="TableContents"/>
              <w:bidi w:val="0"/>
              <w:spacing w:before="0" w:after="0"/>
              <w:jc w:val="center"/>
              <w:rPr>
                <w:spacing w:val="0"/>
              </w:rPr>
            </w:pPr>
            <w:r>
              <w:rPr>
                <w:spacing w:val="0"/>
              </w:rPr>
              <w:t>          </w:t>
            </w:r>
          </w:p>
        </w:tc>
      </w:tr>
      <w:tr>
        <w:trPr/>
        <w:tc>
          <w:tcPr>
            <w:tcW w:w="26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Vesting dates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0"/>
              <w:jc w:val="right"/>
              <w:rPr>
                <w:spacing w:val="0"/>
              </w:rPr>
            </w:pPr>
            <w:r>
              <w:rPr>
                <w:spacing w:val="0"/>
              </w:rPr>
              <w:t>Jan-14-2026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right"/>
              <w:rPr>
                <w:spacing w:val="0"/>
              </w:rPr>
            </w:pPr>
            <w:r>
              <w:rPr>
                <w:spacing w:val="0"/>
              </w:rPr>
              <w:t>Jan-14-2027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vMerge w:val="continue"/>
            <w:tcBorders/>
            <w:shd w:fill="CCEEFF" w:val="clear"/>
            <w:vAlign w:val="center"/>
          </w:tcPr>
          <w:p>
            <w:pPr>
              <w:pStyle w:val="Normal"/>
              <w:bidi w:val="0"/>
              <w:jc w:val="left"/>
              <w:rPr/>
            </w:pPr>
            <w:r>
              <w:rPr/>
            </w:r>
          </w:p>
        </w:tc>
        <w:tc>
          <w:tcPr>
            <w:tcW w:w="2315" w:type="dxa"/>
            <w:vMerge w:val="continue"/>
            <w:tcBorders/>
            <w:shd w:fill="CCEEFF" w:val="clear"/>
            <w:vAlign w:val="center"/>
          </w:tcPr>
          <w:p>
            <w:pPr>
              <w:pStyle w:val="Normal"/>
              <w:bidi w:val="0"/>
              <w:jc w:val="left"/>
              <w:rPr/>
            </w:pPr>
            <w:r>
              <w:rPr/>
            </w:r>
          </w:p>
        </w:tc>
      </w:tr>
      <w:tr>
        <w:trPr/>
        <w:tc>
          <w:tcPr>
            <w:tcW w:w="2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right"/>
              <w:rPr>
                <w:spacing w:val="0"/>
              </w:rPr>
            </w:pPr>
            <w:r>
              <w:rPr>
                <w:spacing w:val="0"/>
              </w:rPr>
              <w:t>Jan-14-2028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vMerge w:val="continue"/>
            <w:tcBorders/>
            <w:vAlign w:val="center"/>
          </w:tcPr>
          <w:p>
            <w:pPr>
              <w:pStyle w:val="Normal"/>
              <w:bidi w:val="0"/>
              <w:jc w:val="left"/>
              <w:rPr/>
            </w:pPr>
            <w:r>
              <w:rPr/>
            </w:r>
          </w:p>
        </w:tc>
        <w:tc>
          <w:tcPr>
            <w:tcW w:w="2315" w:type="dxa"/>
            <w:vMerge w:val="continue"/>
            <w:tcBorders/>
            <w:vAlign w:val="center"/>
          </w:tcPr>
          <w:p>
            <w:pPr>
              <w:pStyle w:val="Normal"/>
              <w:bidi w:val="0"/>
              <w:jc w:val="left"/>
              <w:rPr/>
            </w:pPr>
            <w:r>
              <w:rPr/>
            </w:r>
          </w:p>
        </w:tc>
      </w:tr>
      <w:tr>
        <w:trPr/>
        <w:tc>
          <w:tcPr>
            <w:tcW w:w="269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right"/>
              <w:rPr>
                <w:spacing w:val="0"/>
              </w:rPr>
            </w:pPr>
            <w:r>
              <w:rPr>
                <w:spacing w:val="0"/>
              </w:rPr>
              <w:t>Jan-14-2029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vMerge w:val="continue"/>
            <w:tcBorders/>
            <w:shd w:fill="CCEEFF" w:val="clear"/>
            <w:vAlign w:val="center"/>
          </w:tcPr>
          <w:p>
            <w:pPr>
              <w:pStyle w:val="Normal"/>
              <w:bidi w:val="0"/>
              <w:jc w:val="left"/>
              <w:rPr/>
            </w:pPr>
            <w:r>
              <w:rPr/>
            </w:r>
          </w:p>
        </w:tc>
        <w:tc>
          <w:tcPr>
            <w:tcW w:w="2315" w:type="dxa"/>
            <w:vMerge w:val="continue"/>
            <w:tcBorders/>
            <w:shd w:fill="CCEEFF" w:val="clear"/>
            <w:vAlign w:val="center"/>
          </w:tcPr>
          <w:p>
            <w:pPr>
              <w:pStyle w:val="Normal"/>
              <w:bidi w:val="0"/>
              <w:jc w:val="left"/>
              <w:rPr/>
            </w:pPr>
            <w:r>
              <w:rPr/>
            </w:r>
          </w:p>
        </w:tc>
      </w:tr>
      <w:tr>
        <w:trPr/>
        <w:tc>
          <w:tcPr>
            <w:tcW w:w="2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right"/>
              <w:rPr>
                <w:spacing w:val="0"/>
              </w:rPr>
            </w:pPr>
            <w:r>
              <w:rPr>
                <w:spacing w:val="0"/>
              </w:rPr>
              <w:t>Jan-14-2030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vMerge w:val="continue"/>
            <w:tcBorders/>
            <w:vAlign w:val="center"/>
          </w:tcPr>
          <w:p>
            <w:pPr>
              <w:pStyle w:val="Normal"/>
              <w:bidi w:val="0"/>
              <w:jc w:val="left"/>
              <w:rPr/>
            </w:pPr>
            <w:r>
              <w:rPr/>
            </w:r>
          </w:p>
        </w:tc>
        <w:tc>
          <w:tcPr>
            <w:tcW w:w="2315" w:type="dxa"/>
            <w:vMerge w:val="continue"/>
            <w:tcBorders/>
            <w:vAlign w:val="center"/>
          </w:tcPr>
          <w:p>
            <w:pPr>
              <w:pStyle w:val="Normal"/>
              <w:bidi w:val="0"/>
              <w:jc w:val="left"/>
              <w:rPr/>
            </w:pPr>
            <w:r>
              <w:rPr/>
            </w:r>
          </w:p>
        </w:tc>
      </w:tr>
      <w:tr>
        <w:trPr/>
        <w:tc>
          <w:tcPr>
            <w:tcW w:w="26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Volatility</w:t>
            </w:r>
          </w:p>
          <w:p>
            <w:pPr>
              <w:pStyle w:val="TableContents"/>
              <w:bidi w:val="0"/>
              <w:spacing w:before="0" w:after="0"/>
              <w:jc w:val="left"/>
              <w:rPr>
                <w:rFonts w:ascii="Times New Roman" w:hAnsi="Times New Roman"/>
                <w:spacing w:val="0"/>
                <w:sz w:val="12"/>
              </w:rPr>
            </w:pPr>
            <w:r>
              <w:rPr>
                <w:rFonts w:ascii="Times New Roman" w:hAnsi="Times New Roman"/>
                <w:spacing w:val="0"/>
                <w:sz w:val="12"/>
              </w:rPr>
              <w:t>1</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226.67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175.64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vMerge w:val="continue"/>
            <w:tcBorders/>
            <w:shd w:fill="CCEEFF" w:val="clear"/>
            <w:vAlign w:val="center"/>
          </w:tcPr>
          <w:p>
            <w:pPr>
              <w:pStyle w:val="Normal"/>
              <w:bidi w:val="0"/>
              <w:jc w:val="left"/>
              <w:rPr/>
            </w:pPr>
            <w:r>
              <w:rPr/>
            </w:r>
          </w:p>
        </w:tc>
        <w:tc>
          <w:tcPr>
            <w:tcW w:w="2315" w:type="dxa"/>
            <w:vMerge w:val="continue"/>
            <w:tcBorders/>
            <w:shd w:fill="CCEEFF" w:val="clear"/>
            <w:vAlign w:val="center"/>
          </w:tcPr>
          <w:p>
            <w:pPr>
              <w:pStyle w:val="Normal"/>
              <w:bidi w:val="0"/>
              <w:jc w:val="left"/>
              <w:rPr/>
            </w:pPr>
            <w:r>
              <w:rPr/>
            </w:r>
          </w:p>
        </w:tc>
      </w:tr>
      <w:tr>
        <w:trPr/>
        <w:tc>
          <w:tcPr>
            <w:tcW w:w="26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Dividend yield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vMerge w:val="continue"/>
            <w:tcBorders/>
            <w:vAlign w:val="center"/>
          </w:tcPr>
          <w:p>
            <w:pPr>
              <w:pStyle w:val="Normal"/>
              <w:bidi w:val="0"/>
              <w:jc w:val="left"/>
              <w:rPr/>
            </w:pPr>
            <w:r>
              <w:rPr/>
            </w:r>
          </w:p>
        </w:tc>
        <w:tc>
          <w:tcPr>
            <w:tcW w:w="2315" w:type="dxa"/>
            <w:vMerge w:val="continue"/>
            <w:tcBorders/>
            <w:vAlign w:val="center"/>
          </w:tcPr>
          <w:p>
            <w:pPr>
              <w:pStyle w:val="Normal"/>
              <w:bidi w:val="0"/>
              <w:jc w:val="left"/>
              <w:rPr/>
            </w:pPr>
            <w:r>
              <w:rPr/>
            </w:r>
          </w:p>
        </w:tc>
      </w:tr>
      <w:tr>
        <w:trPr/>
        <w:tc>
          <w:tcPr>
            <w:tcW w:w="26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Risk-free investment rate</w:t>
            </w:r>
          </w:p>
          <w:p>
            <w:pPr>
              <w:pStyle w:val="TableContents"/>
              <w:bidi w:val="0"/>
              <w:spacing w:before="0" w:after="0"/>
              <w:jc w:val="left"/>
              <w:rPr>
                <w:rFonts w:ascii="Times New Roman" w:hAnsi="Times New Roman"/>
                <w:spacing w:val="0"/>
                <w:sz w:val="12"/>
              </w:rPr>
            </w:pPr>
            <w:r>
              <w:rPr>
                <w:rFonts w:ascii="Times New Roman" w:hAnsi="Times New Roman"/>
                <w:spacing w:val="0"/>
                <w:sz w:val="12"/>
              </w:rPr>
              <w:t>1</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3.53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3.78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vMerge w:val="continue"/>
            <w:tcBorders/>
            <w:shd w:fill="CCEEFF" w:val="clear"/>
            <w:vAlign w:val="center"/>
          </w:tcPr>
          <w:p>
            <w:pPr>
              <w:pStyle w:val="Normal"/>
              <w:bidi w:val="0"/>
              <w:jc w:val="left"/>
              <w:rPr/>
            </w:pPr>
            <w:r>
              <w:rPr/>
            </w:r>
          </w:p>
        </w:tc>
        <w:tc>
          <w:tcPr>
            <w:tcW w:w="2315" w:type="dxa"/>
            <w:vMerge w:val="continue"/>
            <w:tcBorders/>
            <w:shd w:fill="CCEEFF" w:val="clear"/>
            <w:vAlign w:val="center"/>
          </w:tcPr>
          <w:p>
            <w:pPr>
              <w:pStyle w:val="Normal"/>
              <w:bidi w:val="0"/>
              <w:jc w:val="left"/>
              <w:rPr/>
            </w:pPr>
            <w:r>
              <w:rPr/>
            </w:r>
          </w:p>
        </w:tc>
      </w:tr>
      <w:tr>
        <w:trPr/>
        <w:tc>
          <w:tcPr>
            <w:tcW w:w="26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Fair value of option at grant date</w:t>
            </w:r>
          </w:p>
          <w:p>
            <w:pPr>
              <w:pStyle w:val="TableContents"/>
              <w:bidi w:val="0"/>
              <w:spacing w:before="0" w:after="0"/>
              <w:jc w:val="left"/>
              <w:rPr>
                <w:rFonts w:ascii="Times New Roman" w:hAnsi="Times New Roman"/>
                <w:spacing w:val="0"/>
                <w:sz w:val="12"/>
              </w:rPr>
            </w:pPr>
            <w:r>
              <w:rPr>
                <w:rFonts w:ascii="Times New Roman" w:hAnsi="Times New Roman"/>
                <w:spacing w:val="0"/>
                <w:sz w:val="12"/>
              </w:rPr>
              <w:t>1</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0.0005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05" w:type="dxa"/>
            <w:tcBorders/>
            <w:vAlign w:val="center"/>
          </w:tcPr>
          <w:p>
            <w:pPr>
              <w:pStyle w:val="TableContents"/>
              <w:bidi w:val="0"/>
              <w:spacing w:before="0" w:after="283"/>
              <w:jc w:val="right"/>
              <w:rPr/>
            </w:pPr>
            <w:r>
              <w:rPr/>
              <w:t>0.0005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vMerge w:val="continue"/>
            <w:tcBorders/>
            <w:vAlign w:val="center"/>
          </w:tcPr>
          <w:p>
            <w:pPr>
              <w:pStyle w:val="Normal"/>
              <w:bidi w:val="0"/>
              <w:jc w:val="left"/>
              <w:rPr/>
            </w:pPr>
            <w:r>
              <w:rPr/>
            </w:r>
          </w:p>
        </w:tc>
        <w:tc>
          <w:tcPr>
            <w:tcW w:w="2315" w:type="dxa"/>
            <w:vMerge w:val="continue"/>
            <w:tcBorders/>
            <w:vAlign w:val="center"/>
          </w:tcPr>
          <w:p>
            <w:pPr>
              <w:pStyle w:val="Normal"/>
              <w:bidi w:val="0"/>
              <w:jc w:val="left"/>
              <w:rPr/>
            </w:pPr>
            <w:r>
              <w:rPr/>
            </w:r>
          </w:p>
        </w:tc>
      </w:tr>
      <w:tr>
        <w:trPr/>
        <w:tc>
          <w:tcPr>
            <w:tcW w:w="26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Fair value of share at grant date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0.0005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0.0005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vMerge w:val="continue"/>
            <w:tcBorders/>
            <w:shd w:fill="CCEEFF" w:val="clear"/>
            <w:vAlign w:val="center"/>
          </w:tcPr>
          <w:p>
            <w:pPr>
              <w:pStyle w:val="Normal"/>
              <w:bidi w:val="0"/>
              <w:jc w:val="left"/>
              <w:rPr/>
            </w:pPr>
            <w:r>
              <w:rPr/>
            </w:r>
          </w:p>
        </w:tc>
        <w:tc>
          <w:tcPr>
            <w:tcW w:w="2315" w:type="dxa"/>
            <w:vMerge w:val="continue"/>
            <w:tcBorders/>
            <w:shd w:fill="CCEEFF" w:val="clear"/>
            <w:vAlign w:val="center"/>
          </w:tcPr>
          <w:p>
            <w:pPr>
              <w:pStyle w:val="Normal"/>
              <w:bidi w:val="0"/>
              <w:jc w:val="left"/>
              <w:rPr/>
            </w:pPr>
            <w:r>
              <w:rPr/>
            </w:r>
          </w:p>
        </w:tc>
      </w:tr>
      <w:tr>
        <w:trPr/>
        <w:tc>
          <w:tcPr>
            <w:tcW w:w="26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Exercise price at date of grant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0.0005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05" w:type="dxa"/>
            <w:tcBorders/>
            <w:vAlign w:val="center"/>
          </w:tcPr>
          <w:p>
            <w:pPr>
              <w:pStyle w:val="TableContents"/>
              <w:bidi w:val="0"/>
              <w:spacing w:before="0" w:after="283"/>
              <w:jc w:val="right"/>
              <w:rPr/>
            </w:pPr>
            <w:r>
              <w:rPr/>
              <w:t>0.0005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vMerge w:val="continue"/>
            <w:tcBorders/>
            <w:vAlign w:val="center"/>
          </w:tcPr>
          <w:p>
            <w:pPr>
              <w:pStyle w:val="Normal"/>
              <w:bidi w:val="0"/>
              <w:jc w:val="left"/>
              <w:rPr/>
            </w:pPr>
            <w:r>
              <w:rPr/>
            </w:r>
          </w:p>
        </w:tc>
        <w:tc>
          <w:tcPr>
            <w:tcW w:w="2315" w:type="dxa"/>
            <w:vMerge w:val="continue"/>
            <w:tcBorders/>
            <w:vAlign w:val="center"/>
          </w:tcPr>
          <w:p>
            <w:pPr>
              <w:pStyle w:val="Normal"/>
              <w:bidi w:val="0"/>
              <w:jc w:val="left"/>
              <w:rPr/>
            </w:pPr>
            <w:r>
              <w:rPr/>
            </w:r>
          </w:p>
        </w:tc>
      </w:tr>
      <w:tr>
        <w:trPr/>
        <w:tc>
          <w:tcPr>
            <w:tcW w:w="26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Lapse date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0"/>
              <w:jc w:val="right"/>
              <w:rPr>
                <w:spacing w:val="0"/>
              </w:rPr>
            </w:pPr>
            <w:r>
              <w:rPr>
                <w:spacing w:val="0"/>
              </w:rPr>
              <w:t>Jan-14-2036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right"/>
              <w:rPr>
                <w:spacing w:val="0"/>
              </w:rPr>
            </w:pPr>
            <w:r>
              <w:rPr>
                <w:spacing w:val="0"/>
              </w:rPr>
              <w:t>Jan-14-2036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vMerge w:val="continue"/>
            <w:tcBorders/>
            <w:shd w:fill="CCEEFF" w:val="clear"/>
            <w:vAlign w:val="center"/>
          </w:tcPr>
          <w:p>
            <w:pPr>
              <w:pStyle w:val="Normal"/>
              <w:bidi w:val="0"/>
              <w:jc w:val="left"/>
              <w:rPr/>
            </w:pPr>
            <w:r>
              <w:rPr/>
            </w:r>
          </w:p>
        </w:tc>
        <w:tc>
          <w:tcPr>
            <w:tcW w:w="2315" w:type="dxa"/>
            <w:vMerge w:val="continue"/>
            <w:tcBorders/>
            <w:shd w:fill="CCEEFF" w:val="clear"/>
            <w:vAlign w:val="center"/>
          </w:tcPr>
          <w:p>
            <w:pPr>
              <w:pStyle w:val="Normal"/>
              <w:bidi w:val="0"/>
              <w:jc w:val="left"/>
              <w:rPr/>
            </w:pPr>
            <w:r>
              <w:rPr/>
            </w:r>
          </w:p>
        </w:tc>
      </w:tr>
      <w:tr>
        <w:trPr/>
        <w:tc>
          <w:tcPr>
            <w:tcW w:w="26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Expected option life (years)</w:t>
            </w:r>
          </w:p>
          <w:p>
            <w:pPr>
              <w:pStyle w:val="TableContents"/>
              <w:bidi w:val="0"/>
              <w:spacing w:before="0" w:after="0"/>
              <w:jc w:val="left"/>
              <w:rPr>
                <w:rFonts w:ascii="Times New Roman" w:hAnsi="Times New Roman"/>
                <w:spacing w:val="0"/>
                <w:sz w:val="12"/>
              </w:rPr>
            </w:pPr>
            <w:r>
              <w:rPr>
                <w:rFonts w:ascii="Times New Roman" w:hAnsi="Times New Roman"/>
                <w:spacing w:val="0"/>
                <w:sz w:val="12"/>
              </w:rPr>
              <w:t>1</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4.5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vMerge w:val="continue"/>
            <w:tcBorders/>
            <w:vAlign w:val="center"/>
          </w:tcPr>
          <w:p>
            <w:pPr>
              <w:pStyle w:val="Normal"/>
              <w:bidi w:val="0"/>
              <w:jc w:val="left"/>
              <w:rPr/>
            </w:pPr>
            <w:r>
              <w:rPr/>
            </w:r>
          </w:p>
        </w:tc>
        <w:tc>
          <w:tcPr>
            <w:tcW w:w="2315" w:type="dxa"/>
            <w:vMerge w:val="continue"/>
            <w:tcBorders/>
            <w:vAlign w:val="center"/>
          </w:tcPr>
          <w:p>
            <w:pPr>
              <w:pStyle w:val="Normal"/>
              <w:bidi w:val="0"/>
              <w:jc w:val="left"/>
              <w:rPr/>
            </w:pPr>
            <w:r>
              <w:rPr/>
            </w:r>
          </w:p>
        </w:tc>
      </w:tr>
      <w:tr>
        <w:trPr/>
        <w:tc>
          <w:tcPr>
            <w:tcW w:w="26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Number of options granted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313,694,177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87,871,006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vMerge w:val="continue"/>
            <w:tcBorders/>
            <w:shd w:fill="CCEEFF" w:val="clear"/>
            <w:vAlign w:val="center"/>
          </w:tcPr>
          <w:p>
            <w:pPr>
              <w:pStyle w:val="Normal"/>
              <w:bidi w:val="0"/>
              <w:jc w:val="left"/>
              <w:rPr/>
            </w:pPr>
            <w:r>
              <w:rPr/>
            </w:r>
          </w:p>
        </w:tc>
        <w:tc>
          <w:tcPr>
            <w:tcW w:w="2315" w:type="dxa"/>
            <w:vMerge w:val="continue"/>
            <w:tcBorders/>
            <w:shd w:fill="CCEEFF" w:val="clear"/>
            <w:vAlign w:val="center"/>
          </w:tcPr>
          <w:p>
            <w:pPr>
              <w:pStyle w:val="Normal"/>
              <w:bidi w:val="0"/>
              <w:jc w:val="left"/>
              <w:rPr/>
            </w:pPr>
            <w:r>
              <w:rPr/>
            </w:r>
          </w:p>
        </w:tc>
      </w:tr>
      <w:tr>
        <w:trPr/>
        <w:tc>
          <w:tcPr>
            <w:tcW w:w="2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0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vMerge w:val="continue"/>
            <w:tcBorders/>
            <w:vAlign w:val="center"/>
          </w:tcPr>
          <w:p>
            <w:pPr>
              <w:pStyle w:val="Normal"/>
              <w:bidi w:val="0"/>
              <w:jc w:val="left"/>
              <w:rPr/>
            </w:pPr>
            <w:r>
              <w:rPr/>
            </w:r>
          </w:p>
        </w:tc>
        <w:tc>
          <w:tcPr>
            <w:tcW w:w="2315" w:type="dxa"/>
            <w:vMerge w:val="continue"/>
            <w:tcBorders/>
            <w:vAlign w:val="center"/>
          </w:tcPr>
          <w:p>
            <w:pPr>
              <w:pStyle w:val="Normal"/>
              <w:bidi w:val="0"/>
              <w:jc w:val="left"/>
              <w:rPr/>
            </w:pPr>
            <w:r>
              <w:rPr/>
            </w:r>
          </w:p>
        </w:tc>
      </w:tr>
    </w:tbl>
    <w:p>
      <w:pPr>
        <w:pStyle w:val="TextBody"/>
        <w:bidi w:val="0"/>
        <w:spacing w:before="0" w:after="0"/>
        <w:jc w:val="left"/>
        <w:rPr>
          <w:spacing w:val="0"/>
        </w:rPr>
      </w:pPr>
      <w:r>
        <w:rPr>
          <w:spacing w:val="0"/>
        </w:rPr>
        <w:t> </w:t>
      </w:r>
    </w:p>
    <w:tbl>
      <w:tblPr>
        <w:tblW w:w="9485" w:type="dxa"/>
        <w:jc w:val="left"/>
        <w:tblInd w:w="0" w:type="dxa"/>
        <w:tblLayout w:type="fixed"/>
        <w:tblCellMar>
          <w:top w:w="0" w:type="dxa"/>
          <w:left w:w="0" w:type="dxa"/>
          <w:bottom w:w="0" w:type="dxa"/>
          <w:right w:w="0" w:type="dxa"/>
        </w:tblCellMar>
      </w:tblPr>
      <w:tblGrid>
        <w:gridCol w:w="2690"/>
        <w:gridCol w:w="120"/>
        <w:gridCol w:w="140"/>
        <w:gridCol w:w="1265"/>
        <w:gridCol w:w="275"/>
        <w:gridCol w:w="60"/>
        <w:gridCol w:w="130"/>
        <w:gridCol w:w="130"/>
        <w:gridCol w:w="60"/>
        <w:gridCol w:w="120"/>
        <w:gridCol w:w="140"/>
        <w:gridCol w:w="1265"/>
        <w:gridCol w:w="275"/>
        <w:gridCol w:w="60"/>
        <w:gridCol w:w="130"/>
        <w:gridCol w:w="130"/>
        <w:gridCol w:w="60"/>
        <w:gridCol w:w="120"/>
        <w:gridCol w:w="2315"/>
      </w:tblGrid>
      <w:tr>
        <w:trPr/>
        <w:tc>
          <w:tcPr>
            <w:tcW w:w="2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r>
      <w:tr>
        <w:trPr/>
        <w:tc>
          <w:tcPr>
            <w:tcW w:w="2690" w:type="dxa"/>
            <w:tcBorders/>
            <w:vAlign w:val="center"/>
          </w:tcPr>
          <w:p>
            <w:pPr>
              <w:pStyle w:val="TableContents"/>
              <w:bidi w:val="0"/>
              <w:spacing w:before="0" w:after="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Grant date</w:t>
            </w:r>
          </w:p>
        </w:tc>
        <w:tc>
          <w:tcPr>
            <w:tcW w:w="120" w:type="dxa"/>
            <w:tcBorders/>
            <w:vAlign w:val="center"/>
          </w:tcPr>
          <w:p>
            <w:pPr>
              <w:pStyle w:val="TableContents"/>
              <w:bidi w:val="0"/>
              <w:spacing w:before="0" w:after="283"/>
              <w:jc w:val="left"/>
              <w:rPr/>
            </w:pPr>
            <w:r>
              <w:rPr/>
              <w:t>  </w:t>
            </w:r>
          </w:p>
        </w:tc>
        <w:tc>
          <w:tcPr>
            <w:tcW w:w="1405" w:type="dxa"/>
            <w:gridSpan w:val="2"/>
            <w:tcBorders/>
            <w:vAlign w:val="center"/>
          </w:tcPr>
          <w:p>
            <w:pPr>
              <w:pStyle w:val="TableContents"/>
              <w:bidi w:val="0"/>
              <w:spacing w:before="0" w:after="0"/>
              <w:jc w:val="center"/>
              <w:rPr>
                <w:b/>
                <w:spacing w:val="0"/>
              </w:rPr>
            </w:pPr>
            <w:r>
              <w:rPr>
                <w:b/>
                <w:spacing w:val="0"/>
              </w:rPr>
              <w:t>Apr-15-2026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gridSpan w:val="2"/>
            <w:tcBorders/>
            <w:vAlign w:val="center"/>
          </w:tcPr>
          <w:p>
            <w:pPr>
              <w:pStyle w:val="TableContents"/>
              <w:bidi w:val="0"/>
              <w:spacing w:before="0" w:after="0"/>
              <w:jc w:val="center"/>
              <w:rPr>
                <w:spacing w:val="0"/>
              </w:rPr>
            </w:pPr>
            <w:r>
              <w:rPr>
                <w:spacing w:val="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5" w:type="dxa"/>
            <w:gridSpan w:val="2"/>
            <w:tcBorders/>
            <w:vAlign w:val="center"/>
          </w:tcPr>
          <w:p>
            <w:pPr>
              <w:pStyle w:val="TableContents"/>
              <w:bidi w:val="0"/>
              <w:spacing w:before="0" w:after="0"/>
              <w:jc w:val="center"/>
              <w:rPr>
                <w:b/>
                <w:spacing w:val="0"/>
              </w:rPr>
            </w:pPr>
            <w:r>
              <w:rPr>
                <w:b/>
                <w:spacing w:val="0"/>
              </w:rPr>
              <w:t>Apr-15-2026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gridSpan w:val="2"/>
            <w:tcBorders/>
            <w:vAlign w:val="center"/>
          </w:tcPr>
          <w:p>
            <w:pPr>
              <w:pStyle w:val="TableContents"/>
              <w:bidi w:val="0"/>
              <w:spacing w:before="0" w:after="0"/>
              <w:jc w:val="center"/>
              <w:rPr>
                <w:spacing w:val="0"/>
              </w:rPr>
            </w:pPr>
            <w:r>
              <w:rPr>
                <w:spacing w:val="0"/>
              </w:rPr>
              <w:t> </w:t>
            </w:r>
          </w:p>
        </w:tc>
        <w:tc>
          <w:tcPr>
            <w:tcW w:w="60" w:type="dxa"/>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2315" w:type="dxa"/>
            <w:vMerge w:val="restart"/>
            <w:tcBorders/>
            <w:vAlign w:val="center"/>
          </w:tcPr>
          <w:p>
            <w:pPr>
              <w:pStyle w:val="TableContents"/>
              <w:bidi w:val="0"/>
              <w:spacing w:before="0" w:after="0"/>
              <w:jc w:val="center"/>
              <w:rPr>
                <w:spacing w:val="0"/>
              </w:rPr>
            </w:pPr>
            <w:r>
              <w:rPr>
                <w:spacing w:val="0"/>
              </w:rPr>
              <w:t>          </w:t>
            </w:r>
          </w:p>
        </w:tc>
      </w:tr>
      <w:tr>
        <w:trPr/>
        <w:tc>
          <w:tcPr>
            <w:tcW w:w="26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Vesting dates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0"/>
              <w:jc w:val="right"/>
              <w:rPr>
                <w:spacing w:val="0"/>
              </w:rPr>
            </w:pPr>
            <w:r>
              <w:rPr>
                <w:spacing w:val="0"/>
              </w:rPr>
              <w:t>Apr-15-2026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0"/>
              <w:jc w:val="right"/>
              <w:rPr>
                <w:spacing w:val="0"/>
              </w:rPr>
            </w:pPr>
            <w:r>
              <w:rPr>
                <w:spacing w:val="0"/>
              </w:rPr>
              <w:t>Apr-15-2027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vMerge w:val="continue"/>
            <w:tcBorders/>
            <w:shd w:fill="CCEEFF" w:val="clear"/>
            <w:vAlign w:val="center"/>
          </w:tcPr>
          <w:p>
            <w:pPr>
              <w:pStyle w:val="Normal"/>
              <w:bidi w:val="0"/>
              <w:jc w:val="left"/>
              <w:rPr/>
            </w:pPr>
            <w:r>
              <w:rPr/>
            </w:r>
          </w:p>
        </w:tc>
        <w:tc>
          <w:tcPr>
            <w:tcW w:w="2315" w:type="dxa"/>
            <w:vMerge w:val="continue"/>
            <w:tcBorders/>
            <w:shd w:fill="CCEEFF" w:val="clear"/>
            <w:vAlign w:val="center"/>
          </w:tcPr>
          <w:p>
            <w:pPr>
              <w:pStyle w:val="Normal"/>
              <w:bidi w:val="0"/>
              <w:jc w:val="left"/>
              <w:rPr/>
            </w:pPr>
            <w:r>
              <w:rPr/>
            </w:r>
          </w:p>
        </w:tc>
      </w:tr>
      <w:tr>
        <w:trPr/>
        <w:tc>
          <w:tcPr>
            <w:tcW w:w="2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0"/>
              <w:jc w:val="right"/>
              <w:rPr>
                <w:spacing w:val="0"/>
              </w:rPr>
            </w:pPr>
            <w:r>
              <w:rPr>
                <w:spacing w:val="0"/>
              </w:rPr>
              <w:t>Apr-15-2028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vMerge w:val="continue"/>
            <w:tcBorders/>
            <w:vAlign w:val="center"/>
          </w:tcPr>
          <w:p>
            <w:pPr>
              <w:pStyle w:val="Normal"/>
              <w:bidi w:val="0"/>
              <w:jc w:val="left"/>
              <w:rPr/>
            </w:pPr>
            <w:r>
              <w:rPr/>
            </w:r>
          </w:p>
        </w:tc>
        <w:tc>
          <w:tcPr>
            <w:tcW w:w="2315" w:type="dxa"/>
            <w:vMerge w:val="continue"/>
            <w:tcBorders/>
            <w:vAlign w:val="center"/>
          </w:tcPr>
          <w:p>
            <w:pPr>
              <w:pStyle w:val="Normal"/>
              <w:bidi w:val="0"/>
              <w:jc w:val="left"/>
              <w:rPr/>
            </w:pPr>
            <w:r>
              <w:rPr/>
            </w:r>
          </w:p>
        </w:tc>
      </w:tr>
      <w:tr>
        <w:trPr/>
        <w:tc>
          <w:tcPr>
            <w:tcW w:w="269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0"/>
              <w:jc w:val="right"/>
              <w:rPr>
                <w:spacing w:val="0"/>
              </w:rPr>
            </w:pPr>
            <w:r>
              <w:rPr>
                <w:spacing w:val="0"/>
              </w:rPr>
              <w:t>Apr-15-2029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vMerge w:val="continue"/>
            <w:tcBorders/>
            <w:shd w:fill="CCEEFF" w:val="clear"/>
            <w:vAlign w:val="center"/>
          </w:tcPr>
          <w:p>
            <w:pPr>
              <w:pStyle w:val="Normal"/>
              <w:bidi w:val="0"/>
              <w:jc w:val="left"/>
              <w:rPr/>
            </w:pPr>
            <w:r>
              <w:rPr/>
            </w:r>
          </w:p>
        </w:tc>
        <w:tc>
          <w:tcPr>
            <w:tcW w:w="2315" w:type="dxa"/>
            <w:vMerge w:val="continue"/>
            <w:tcBorders/>
            <w:shd w:fill="CCEEFF" w:val="clear"/>
            <w:vAlign w:val="center"/>
          </w:tcPr>
          <w:p>
            <w:pPr>
              <w:pStyle w:val="Normal"/>
              <w:bidi w:val="0"/>
              <w:jc w:val="left"/>
              <w:rPr/>
            </w:pPr>
            <w:r>
              <w:rPr/>
            </w:r>
          </w:p>
        </w:tc>
      </w:tr>
      <w:tr>
        <w:trPr/>
        <w:tc>
          <w:tcPr>
            <w:tcW w:w="2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0"/>
              <w:jc w:val="right"/>
              <w:rPr>
                <w:spacing w:val="0"/>
              </w:rPr>
            </w:pPr>
            <w:r>
              <w:rPr>
                <w:spacing w:val="0"/>
              </w:rPr>
              <w:t>Apr-15-2030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vMerge w:val="continue"/>
            <w:tcBorders/>
            <w:vAlign w:val="center"/>
          </w:tcPr>
          <w:p>
            <w:pPr>
              <w:pStyle w:val="Normal"/>
              <w:bidi w:val="0"/>
              <w:jc w:val="left"/>
              <w:rPr/>
            </w:pPr>
            <w:r>
              <w:rPr/>
            </w:r>
          </w:p>
        </w:tc>
        <w:tc>
          <w:tcPr>
            <w:tcW w:w="2315" w:type="dxa"/>
            <w:vMerge w:val="continue"/>
            <w:tcBorders/>
            <w:vAlign w:val="center"/>
          </w:tcPr>
          <w:p>
            <w:pPr>
              <w:pStyle w:val="Normal"/>
              <w:bidi w:val="0"/>
              <w:jc w:val="left"/>
              <w:rPr/>
            </w:pPr>
            <w:r>
              <w:rPr/>
            </w:r>
          </w:p>
        </w:tc>
      </w:tr>
      <w:tr>
        <w:trPr/>
        <w:tc>
          <w:tcPr>
            <w:tcW w:w="26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Volatility</w:t>
            </w:r>
          </w:p>
          <w:p>
            <w:pPr>
              <w:pStyle w:val="TableContents"/>
              <w:bidi w:val="0"/>
              <w:spacing w:before="0" w:after="0"/>
              <w:jc w:val="left"/>
              <w:rPr>
                <w:rFonts w:ascii="Times New Roman" w:hAnsi="Times New Roman"/>
                <w:spacing w:val="0"/>
                <w:sz w:val="12"/>
              </w:rPr>
            </w:pPr>
            <w:r>
              <w:rPr>
                <w:rFonts w:ascii="Times New Roman" w:hAnsi="Times New Roman"/>
                <w:spacing w:val="0"/>
                <w:sz w:val="12"/>
              </w:rPr>
              <w:t>1</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256.68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192.85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vMerge w:val="continue"/>
            <w:tcBorders/>
            <w:shd w:fill="CCEEFF" w:val="clear"/>
            <w:vAlign w:val="center"/>
          </w:tcPr>
          <w:p>
            <w:pPr>
              <w:pStyle w:val="Normal"/>
              <w:bidi w:val="0"/>
              <w:jc w:val="left"/>
              <w:rPr/>
            </w:pPr>
            <w:r>
              <w:rPr/>
            </w:r>
          </w:p>
        </w:tc>
        <w:tc>
          <w:tcPr>
            <w:tcW w:w="2315" w:type="dxa"/>
            <w:vMerge w:val="continue"/>
            <w:tcBorders/>
            <w:shd w:fill="CCEEFF" w:val="clear"/>
            <w:vAlign w:val="center"/>
          </w:tcPr>
          <w:p>
            <w:pPr>
              <w:pStyle w:val="Normal"/>
              <w:bidi w:val="0"/>
              <w:jc w:val="left"/>
              <w:rPr/>
            </w:pPr>
            <w:r>
              <w:rPr/>
            </w:r>
          </w:p>
        </w:tc>
      </w:tr>
      <w:tr>
        <w:trPr/>
        <w:tc>
          <w:tcPr>
            <w:tcW w:w="26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Dividend yield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right"/>
              <w:rPr/>
            </w:pPr>
            <w:r>
              <w:rPr/>
              <w:t>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right"/>
              <w:rPr/>
            </w:pPr>
            <w:r>
              <w:rPr/>
              <w:t>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vMerge w:val="continue"/>
            <w:tcBorders/>
            <w:vAlign w:val="center"/>
          </w:tcPr>
          <w:p>
            <w:pPr>
              <w:pStyle w:val="Normal"/>
              <w:bidi w:val="0"/>
              <w:jc w:val="left"/>
              <w:rPr/>
            </w:pPr>
            <w:r>
              <w:rPr/>
            </w:r>
          </w:p>
        </w:tc>
        <w:tc>
          <w:tcPr>
            <w:tcW w:w="2315" w:type="dxa"/>
            <w:vMerge w:val="continue"/>
            <w:tcBorders/>
            <w:vAlign w:val="center"/>
          </w:tcPr>
          <w:p>
            <w:pPr>
              <w:pStyle w:val="Normal"/>
              <w:bidi w:val="0"/>
              <w:jc w:val="left"/>
              <w:rPr/>
            </w:pPr>
            <w:r>
              <w:rPr/>
            </w:r>
          </w:p>
        </w:tc>
      </w:tr>
      <w:tr>
        <w:trPr/>
        <w:tc>
          <w:tcPr>
            <w:tcW w:w="26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Risk-free investment rate</w:t>
            </w:r>
          </w:p>
          <w:p>
            <w:pPr>
              <w:pStyle w:val="TableContents"/>
              <w:bidi w:val="0"/>
              <w:spacing w:before="0" w:after="0"/>
              <w:jc w:val="left"/>
              <w:rPr>
                <w:rFonts w:ascii="Times New Roman" w:hAnsi="Times New Roman"/>
                <w:spacing w:val="0"/>
                <w:sz w:val="12"/>
              </w:rPr>
            </w:pPr>
            <w:r>
              <w:rPr>
                <w:rFonts w:ascii="Times New Roman" w:hAnsi="Times New Roman"/>
                <w:spacing w:val="0"/>
                <w:sz w:val="12"/>
              </w:rPr>
              <w:t>1</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4.07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4.16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vMerge w:val="continue"/>
            <w:tcBorders/>
            <w:shd w:fill="CCEEFF" w:val="clear"/>
            <w:vAlign w:val="center"/>
          </w:tcPr>
          <w:p>
            <w:pPr>
              <w:pStyle w:val="Normal"/>
              <w:bidi w:val="0"/>
              <w:jc w:val="left"/>
              <w:rPr/>
            </w:pPr>
            <w:r>
              <w:rPr/>
            </w:r>
          </w:p>
        </w:tc>
        <w:tc>
          <w:tcPr>
            <w:tcW w:w="2315" w:type="dxa"/>
            <w:vMerge w:val="continue"/>
            <w:tcBorders/>
            <w:shd w:fill="CCEEFF" w:val="clear"/>
            <w:vAlign w:val="center"/>
          </w:tcPr>
          <w:p>
            <w:pPr>
              <w:pStyle w:val="Normal"/>
              <w:bidi w:val="0"/>
              <w:jc w:val="left"/>
              <w:rPr/>
            </w:pPr>
            <w:r>
              <w:rPr/>
            </w:r>
          </w:p>
        </w:tc>
      </w:tr>
      <w:tr>
        <w:trPr/>
        <w:tc>
          <w:tcPr>
            <w:tcW w:w="26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Fair value of option at grant date</w:t>
            </w:r>
          </w:p>
          <w:p>
            <w:pPr>
              <w:pStyle w:val="TableContents"/>
              <w:bidi w:val="0"/>
              <w:spacing w:before="0" w:after="0"/>
              <w:jc w:val="left"/>
              <w:rPr>
                <w:rFonts w:ascii="Times New Roman" w:hAnsi="Times New Roman"/>
                <w:spacing w:val="0"/>
                <w:sz w:val="12"/>
              </w:rPr>
            </w:pPr>
            <w:r>
              <w:rPr>
                <w:rFonts w:ascii="Times New Roman" w:hAnsi="Times New Roman"/>
                <w:spacing w:val="0"/>
                <w:sz w:val="12"/>
              </w:rPr>
              <w:t>1</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65" w:type="dxa"/>
            <w:tcBorders/>
            <w:vAlign w:val="center"/>
          </w:tcPr>
          <w:p>
            <w:pPr>
              <w:pStyle w:val="TableContents"/>
              <w:bidi w:val="0"/>
              <w:spacing w:before="0" w:after="283"/>
              <w:jc w:val="right"/>
              <w:rPr/>
            </w:pPr>
            <w:r>
              <w:rPr/>
              <w:t>0.0002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65" w:type="dxa"/>
            <w:tcBorders/>
            <w:vAlign w:val="center"/>
          </w:tcPr>
          <w:p>
            <w:pPr>
              <w:pStyle w:val="TableContents"/>
              <w:bidi w:val="0"/>
              <w:spacing w:before="0" w:after="283"/>
              <w:jc w:val="right"/>
              <w:rPr/>
            </w:pPr>
            <w:r>
              <w:rPr/>
              <w:t>0.0003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vMerge w:val="continue"/>
            <w:tcBorders/>
            <w:vAlign w:val="center"/>
          </w:tcPr>
          <w:p>
            <w:pPr>
              <w:pStyle w:val="Normal"/>
              <w:bidi w:val="0"/>
              <w:jc w:val="left"/>
              <w:rPr/>
            </w:pPr>
            <w:r>
              <w:rPr/>
            </w:r>
          </w:p>
        </w:tc>
        <w:tc>
          <w:tcPr>
            <w:tcW w:w="2315" w:type="dxa"/>
            <w:vMerge w:val="continue"/>
            <w:tcBorders/>
            <w:vAlign w:val="center"/>
          </w:tcPr>
          <w:p>
            <w:pPr>
              <w:pStyle w:val="Normal"/>
              <w:bidi w:val="0"/>
              <w:jc w:val="left"/>
              <w:rPr/>
            </w:pPr>
            <w:r>
              <w:rPr/>
            </w:r>
          </w:p>
        </w:tc>
      </w:tr>
      <w:tr>
        <w:trPr/>
        <w:tc>
          <w:tcPr>
            <w:tcW w:w="26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Fair value of share at grant date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65" w:type="dxa"/>
            <w:tcBorders/>
            <w:shd w:fill="CCEEFF" w:val="clear"/>
            <w:vAlign w:val="center"/>
          </w:tcPr>
          <w:p>
            <w:pPr>
              <w:pStyle w:val="TableContents"/>
              <w:bidi w:val="0"/>
              <w:spacing w:before="0" w:after="283"/>
              <w:jc w:val="right"/>
              <w:rPr/>
            </w:pPr>
            <w:r>
              <w:rPr/>
              <w:t>0.0003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65" w:type="dxa"/>
            <w:tcBorders/>
            <w:shd w:fill="CCEEFF" w:val="clear"/>
            <w:vAlign w:val="center"/>
          </w:tcPr>
          <w:p>
            <w:pPr>
              <w:pStyle w:val="TableContents"/>
              <w:bidi w:val="0"/>
              <w:spacing w:before="0" w:after="283"/>
              <w:jc w:val="right"/>
              <w:rPr/>
            </w:pPr>
            <w:r>
              <w:rPr/>
              <w:t>0.0003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vMerge w:val="continue"/>
            <w:tcBorders/>
            <w:shd w:fill="CCEEFF" w:val="clear"/>
            <w:vAlign w:val="center"/>
          </w:tcPr>
          <w:p>
            <w:pPr>
              <w:pStyle w:val="Normal"/>
              <w:bidi w:val="0"/>
              <w:jc w:val="left"/>
              <w:rPr/>
            </w:pPr>
            <w:r>
              <w:rPr/>
            </w:r>
          </w:p>
        </w:tc>
        <w:tc>
          <w:tcPr>
            <w:tcW w:w="2315" w:type="dxa"/>
            <w:vMerge w:val="continue"/>
            <w:tcBorders/>
            <w:shd w:fill="CCEEFF" w:val="clear"/>
            <w:vAlign w:val="center"/>
          </w:tcPr>
          <w:p>
            <w:pPr>
              <w:pStyle w:val="Normal"/>
              <w:bidi w:val="0"/>
              <w:jc w:val="left"/>
              <w:rPr/>
            </w:pPr>
            <w:r>
              <w:rPr/>
            </w:r>
          </w:p>
        </w:tc>
      </w:tr>
      <w:tr>
        <w:trPr/>
        <w:tc>
          <w:tcPr>
            <w:tcW w:w="26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Exercise price at date of grant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65" w:type="dxa"/>
            <w:tcBorders/>
            <w:vAlign w:val="center"/>
          </w:tcPr>
          <w:p>
            <w:pPr>
              <w:pStyle w:val="TableContents"/>
              <w:bidi w:val="0"/>
              <w:spacing w:before="0" w:after="283"/>
              <w:jc w:val="right"/>
              <w:rPr/>
            </w:pPr>
            <w:r>
              <w:rPr/>
              <w:t>0.0004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65" w:type="dxa"/>
            <w:tcBorders/>
            <w:vAlign w:val="center"/>
          </w:tcPr>
          <w:p>
            <w:pPr>
              <w:pStyle w:val="TableContents"/>
              <w:bidi w:val="0"/>
              <w:spacing w:before="0" w:after="283"/>
              <w:jc w:val="right"/>
              <w:rPr/>
            </w:pPr>
            <w:r>
              <w:rPr/>
              <w:t>0.0004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vMerge w:val="continue"/>
            <w:tcBorders/>
            <w:vAlign w:val="center"/>
          </w:tcPr>
          <w:p>
            <w:pPr>
              <w:pStyle w:val="Normal"/>
              <w:bidi w:val="0"/>
              <w:jc w:val="left"/>
              <w:rPr/>
            </w:pPr>
            <w:r>
              <w:rPr/>
            </w:r>
          </w:p>
        </w:tc>
        <w:tc>
          <w:tcPr>
            <w:tcW w:w="2315" w:type="dxa"/>
            <w:vMerge w:val="continue"/>
            <w:tcBorders/>
            <w:vAlign w:val="center"/>
          </w:tcPr>
          <w:p>
            <w:pPr>
              <w:pStyle w:val="Normal"/>
              <w:bidi w:val="0"/>
              <w:jc w:val="left"/>
              <w:rPr/>
            </w:pPr>
            <w:r>
              <w:rPr/>
            </w:r>
          </w:p>
        </w:tc>
      </w:tr>
      <w:tr>
        <w:trPr/>
        <w:tc>
          <w:tcPr>
            <w:tcW w:w="26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Lapse date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0"/>
              <w:jc w:val="right"/>
              <w:rPr>
                <w:spacing w:val="0"/>
              </w:rPr>
            </w:pPr>
            <w:r>
              <w:rPr>
                <w:spacing w:val="0"/>
              </w:rPr>
              <w:t>Apr-15-2036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0"/>
              <w:jc w:val="right"/>
              <w:rPr>
                <w:spacing w:val="0"/>
              </w:rPr>
            </w:pPr>
            <w:r>
              <w:rPr>
                <w:spacing w:val="0"/>
              </w:rPr>
              <w:t>Apr-15-2036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vMerge w:val="continue"/>
            <w:tcBorders/>
            <w:shd w:fill="CCEEFF" w:val="clear"/>
            <w:vAlign w:val="center"/>
          </w:tcPr>
          <w:p>
            <w:pPr>
              <w:pStyle w:val="Normal"/>
              <w:bidi w:val="0"/>
              <w:jc w:val="left"/>
              <w:rPr/>
            </w:pPr>
            <w:r>
              <w:rPr/>
            </w:r>
          </w:p>
        </w:tc>
        <w:tc>
          <w:tcPr>
            <w:tcW w:w="2315" w:type="dxa"/>
            <w:vMerge w:val="continue"/>
            <w:tcBorders/>
            <w:shd w:fill="CCEEFF" w:val="clear"/>
            <w:vAlign w:val="center"/>
          </w:tcPr>
          <w:p>
            <w:pPr>
              <w:pStyle w:val="Normal"/>
              <w:bidi w:val="0"/>
              <w:jc w:val="left"/>
              <w:rPr/>
            </w:pPr>
            <w:r>
              <w:rPr/>
            </w:r>
          </w:p>
        </w:tc>
      </w:tr>
      <w:tr>
        <w:trPr/>
        <w:tc>
          <w:tcPr>
            <w:tcW w:w="26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Expected option life (years)</w:t>
            </w:r>
          </w:p>
          <w:p>
            <w:pPr>
              <w:pStyle w:val="TableContents"/>
              <w:bidi w:val="0"/>
              <w:spacing w:before="0" w:after="0"/>
              <w:jc w:val="left"/>
              <w:rPr>
                <w:rFonts w:ascii="Times New Roman" w:hAnsi="Times New Roman"/>
                <w:spacing w:val="0"/>
                <w:sz w:val="12"/>
              </w:rPr>
            </w:pPr>
            <w:r>
              <w:rPr>
                <w:rFonts w:ascii="Times New Roman" w:hAnsi="Times New Roman"/>
                <w:spacing w:val="0"/>
                <w:sz w:val="12"/>
              </w:rPr>
              <w:t>1</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right"/>
              <w:rPr/>
            </w:pPr>
            <w:r>
              <w:rPr/>
              <w:t>1.0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right"/>
              <w:rPr/>
            </w:pPr>
            <w:r>
              <w:rPr/>
              <w:t>3.5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vMerge w:val="continue"/>
            <w:tcBorders/>
            <w:vAlign w:val="center"/>
          </w:tcPr>
          <w:p>
            <w:pPr>
              <w:pStyle w:val="Normal"/>
              <w:bidi w:val="0"/>
              <w:jc w:val="left"/>
              <w:rPr/>
            </w:pPr>
            <w:r>
              <w:rPr/>
            </w:r>
          </w:p>
        </w:tc>
        <w:tc>
          <w:tcPr>
            <w:tcW w:w="2315" w:type="dxa"/>
            <w:vMerge w:val="continue"/>
            <w:tcBorders/>
            <w:vAlign w:val="center"/>
          </w:tcPr>
          <w:p>
            <w:pPr>
              <w:pStyle w:val="Normal"/>
              <w:bidi w:val="0"/>
              <w:jc w:val="left"/>
              <w:rPr/>
            </w:pPr>
            <w:r>
              <w:rPr/>
            </w:r>
          </w:p>
        </w:tc>
      </w:tr>
      <w:tr>
        <w:trPr/>
        <w:tc>
          <w:tcPr>
            <w:tcW w:w="26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Number of options granted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135,525,518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134,170,264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vMerge w:val="continue"/>
            <w:tcBorders/>
            <w:shd w:fill="CCEEFF" w:val="clear"/>
            <w:vAlign w:val="center"/>
          </w:tcPr>
          <w:p>
            <w:pPr>
              <w:pStyle w:val="Normal"/>
              <w:bidi w:val="0"/>
              <w:jc w:val="left"/>
              <w:rPr/>
            </w:pPr>
            <w:r>
              <w:rPr/>
            </w:r>
          </w:p>
        </w:tc>
        <w:tc>
          <w:tcPr>
            <w:tcW w:w="2315" w:type="dxa"/>
            <w:vMerge w:val="continue"/>
            <w:tcBorders/>
            <w:shd w:fill="CCEEFF" w:val="clear"/>
            <w:vAlign w:val="center"/>
          </w:tcPr>
          <w:p>
            <w:pPr>
              <w:pStyle w:val="Normal"/>
              <w:bidi w:val="0"/>
              <w:jc w:val="left"/>
              <w:rPr/>
            </w:pPr>
            <w:r>
              <w:rPr/>
            </w:r>
          </w:p>
        </w:tc>
      </w:tr>
      <w:tr>
        <w:trPr/>
        <w:tc>
          <w:tcPr>
            <w:tcW w:w="2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6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6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vMerge w:val="continue"/>
            <w:tcBorders/>
            <w:vAlign w:val="center"/>
          </w:tcPr>
          <w:p>
            <w:pPr>
              <w:pStyle w:val="Normal"/>
              <w:bidi w:val="0"/>
              <w:jc w:val="left"/>
              <w:rPr/>
            </w:pPr>
            <w:r>
              <w:rPr/>
            </w:r>
          </w:p>
        </w:tc>
        <w:tc>
          <w:tcPr>
            <w:tcW w:w="2315" w:type="dxa"/>
            <w:vMerge w:val="continue"/>
            <w:tcBorders/>
            <w:vAlign w:val="center"/>
          </w:tcPr>
          <w:p>
            <w:pPr>
              <w:pStyle w:val="Normal"/>
              <w:bidi w:val="0"/>
              <w:jc w:val="left"/>
              <w:rPr/>
            </w:pPr>
            <w:r>
              <w:rPr/>
            </w:r>
          </w:p>
        </w:tc>
      </w:tr>
    </w:tbl>
    <w:p>
      <w:pPr>
        <w:pStyle w:val="TextBody"/>
        <w:bidi w:val="0"/>
        <w:spacing w:before="0" w:after="0"/>
        <w:jc w:val="left"/>
        <w:rPr>
          <w:spacing w:val="0"/>
        </w:rPr>
      </w:pPr>
      <w:r>
        <w:rPr>
          <w:spacing w:val="0"/>
        </w:rPr>
        <w:t> </w:t>
      </w:r>
    </w:p>
    <w:tbl>
      <w:tblPr>
        <w:tblW w:w="4000" w:type="dxa"/>
        <w:jc w:val="left"/>
        <w:tblInd w:w="0" w:type="dxa"/>
        <w:tblLayout w:type="fixed"/>
        <w:tblCellMar>
          <w:top w:w="0" w:type="dxa"/>
          <w:left w:w="0" w:type="dxa"/>
          <w:bottom w:w="0" w:type="dxa"/>
          <w:right w:w="0" w:type="dxa"/>
        </w:tblCellMar>
      </w:tblPr>
      <w:tblGrid>
        <w:gridCol w:w="125"/>
        <w:gridCol w:w="3875"/>
      </w:tblGrid>
      <w:tr>
        <w:trPr/>
        <w:tc>
          <w:tcPr>
            <w:tcW w:w="125" w:type="dxa"/>
            <w:tcBorders/>
            <w:vAlign w:val="center"/>
          </w:tcPr>
          <w:p>
            <w:pPr>
              <w:pStyle w:val="TableContents"/>
              <w:bidi w:val="0"/>
              <w:spacing w:before="0" w:after="0"/>
              <w:jc w:val="left"/>
              <w:rPr>
                <w:sz w:val="12"/>
              </w:rPr>
            </w:pPr>
            <w:r>
              <w:rPr>
                <w:sz w:val="12"/>
              </w:rPr>
              <w:t>1.</w:t>
            </w:r>
          </w:p>
          <w:p>
            <w:pPr>
              <w:pStyle w:val="TableContents"/>
              <w:bidi w:val="0"/>
              <w:spacing w:before="0" w:after="0"/>
              <w:jc w:val="left"/>
              <w:rPr/>
            </w:pPr>
            <w:r>
              <w:rPr/>
              <w:t> </w:t>
            </w:r>
          </w:p>
        </w:tc>
        <w:tc>
          <w:tcPr>
            <w:tcW w:w="387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Represents the average for the options granted. </w:t>
            </w:r>
          </w:p>
        </w:tc>
      </w:tr>
    </w:tbl>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spacing w:val="0"/>
          <w:sz w:val="20"/>
        </w:rPr>
      </w:pPr>
      <w:r>
        <w:rPr>
          <w:rFonts w:ascii="Times New Roman" w:hAnsi="Times New Roman"/>
          <w:spacing w:val="0"/>
          <w:sz w:val="20"/>
        </w:rPr>
        <w:t>For the three months ended June 30, 2026, the Company recognized £0.9 million of share-based payment expense in the statement of operations (three months ended June 30, 2025: £8.0 million). For the six months ended June 30, 2026, the Company re</w:t>
      </w:r>
    </w:p>
    <w:p>
      <w:pPr>
        <w:pStyle w:val="TextBody"/>
        <w:bidi w:val="0"/>
        <w:spacing w:before="0" w:after="0"/>
        <w:jc w:val="left"/>
        <w:rPr>
          <w:rFonts w:ascii="Times New Roman" w:hAnsi="Times New Roman"/>
          <w:spacing w:val="0"/>
          <w:sz w:val="20"/>
        </w:rPr>
      </w:pPr>
      <w:r>
        <w:rPr>
          <w:rFonts w:ascii="Times New Roman" w:hAnsi="Times New Roman"/>
          <w:spacing w:val="0"/>
          <w:sz w:val="20"/>
        </w:rPr>
        <w:t>co</w:t>
      </w:r>
    </w:p>
    <w:p>
      <w:pPr>
        <w:pStyle w:val="TextBody"/>
        <w:bidi w:val="0"/>
        <w:spacing w:before="0" w:after="0"/>
        <w:jc w:val="left"/>
        <w:rPr>
          <w:rFonts w:ascii="Times New Roman" w:hAnsi="Times New Roman"/>
          <w:spacing w:val="0"/>
          <w:sz w:val="20"/>
        </w:rPr>
      </w:pPr>
      <w:r>
        <w:rPr>
          <w:rFonts w:ascii="Times New Roman" w:hAnsi="Times New Roman"/>
          <w:spacing w:val="0"/>
          <w:sz w:val="20"/>
        </w:rPr>
        <w:t>g</w:t>
      </w:r>
    </w:p>
    <w:p>
      <w:pPr>
        <w:pStyle w:val="TextBody"/>
        <w:bidi w:val="0"/>
        <w:spacing w:before="0" w:after="0"/>
        <w:jc w:val="left"/>
        <w:rPr>
          <w:rFonts w:ascii="Times New Roman" w:hAnsi="Times New Roman"/>
          <w:spacing w:val="0"/>
          <w:sz w:val="20"/>
        </w:rPr>
      </w:pPr>
      <w:r>
        <w:rPr>
          <w:rFonts w:ascii="Times New Roman" w:hAnsi="Times New Roman"/>
          <w:spacing w:val="0"/>
          <w:sz w:val="20"/>
        </w:rPr>
        <w:t>n</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ized £2.8 million of share-based payment expense in the statement of operations (six months ended June 30, 2025: £8.2 million). </w:t>
      </w:r>
    </w:p>
    <w:p>
      <w:pPr>
        <w:pStyle w:val="TextBody"/>
        <w:bidi w:val="0"/>
        <w:spacing w:before="360" w:after="0"/>
        <w:ind w:left="0" w:right="0" w:hanging="0"/>
        <w:jc w:val="left"/>
        <w:rPr>
          <w:rFonts w:ascii="Times New Roman" w:hAnsi="Times New Roman"/>
          <w:b/>
          <w:spacing w:val="0"/>
          <w:sz w:val="20"/>
        </w:rPr>
      </w:pPr>
      <w:r>
        <w:rPr>
          <w:rFonts w:ascii="Times New Roman" w:hAnsi="Times New Roman"/>
          <w:b/>
          <w:spacing w:val="0"/>
          <w:sz w:val="20"/>
        </w:rPr>
        <w:t xml:space="preserve">9.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Share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capital and share premium </w:t>
      </w:r>
    </w:p>
    <w:p>
      <w:pPr>
        <w:pStyle w:val="TextBody"/>
        <w:bidi w:val="0"/>
        <w:spacing w:before="0" w:after="0"/>
        <w:ind w:left="0" w:right="0" w:hanging="0"/>
        <w:jc w:val="left"/>
        <w:rPr>
          <w:spacing w:val="0"/>
        </w:rPr>
      </w:pPr>
      <w:r>
        <w:rPr>
          <w:spacing w:val="0"/>
        </w:rPr>
        <w:t> </w:t>
      </w:r>
    </w:p>
    <w:tbl>
      <w:tblPr>
        <w:tblW w:w="6013" w:type="dxa"/>
        <w:jc w:val="left"/>
        <w:tblInd w:w="0" w:type="dxa"/>
        <w:tblLayout w:type="fixed"/>
        <w:tblCellMar>
          <w:top w:w="0" w:type="dxa"/>
          <w:left w:w="0" w:type="dxa"/>
          <w:bottom w:w="0" w:type="dxa"/>
          <w:right w:w="0" w:type="dxa"/>
        </w:tblCellMar>
      </w:tblPr>
      <w:tblGrid>
        <w:gridCol w:w="1250"/>
        <w:gridCol w:w="120"/>
        <w:gridCol w:w="151"/>
        <w:gridCol w:w="2013"/>
        <w:gridCol w:w="60"/>
        <w:gridCol w:w="120"/>
        <w:gridCol w:w="154"/>
        <w:gridCol w:w="2070"/>
        <w:gridCol w:w="75"/>
      </w:tblGrid>
      <w:tr>
        <w:trPr/>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64" w:type="dxa"/>
            <w:gridSpan w:val="2"/>
            <w:tcBorders/>
            <w:vAlign w:val="center"/>
          </w:tcPr>
          <w:p>
            <w:pPr>
              <w:pStyle w:val="TableContents"/>
              <w:bidi w:val="0"/>
              <w:spacing w:before="0" w:after="0"/>
              <w:jc w:val="center"/>
              <w:rPr>
                <w:spacing w:val="0"/>
              </w:rPr>
            </w:pPr>
            <w:r>
              <w:rPr>
                <w:spacing w:val="0"/>
              </w:rPr>
              <w:t>    </w:t>
            </w:r>
            <w:r>
              <w:rPr>
                <w:b/>
                <w:spacing w:val="0"/>
              </w:rPr>
              <w:t>June 30,    </w:t>
            </w:r>
          </w:p>
          <w:p>
            <w:pPr>
              <w:pStyle w:val="TableContents"/>
              <w:bidi w:val="0"/>
              <w:spacing w:before="0" w:after="0"/>
              <w:jc w:val="center"/>
              <w:rPr/>
            </w:pPr>
            <w:r>
              <w:rPr/>
            </w:r>
          </w:p>
          <w:p>
            <w:pPr>
              <w:pStyle w:val="TableContents"/>
              <w:bidi w:val="0"/>
              <w:spacing w:before="0" w:after="0"/>
              <w:jc w:val="center"/>
              <w:rPr>
                <w:b/>
                <w:spacing w:val="0"/>
              </w:rPr>
            </w:pPr>
            <w:r>
              <w:rPr>
                <w:b/>
                <w:spacing w:val="0"/>
              </w:rPr>
              <w:t>2026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24" w:type="dxa"/>
            <w:gridSpan w:val="2"/>
            <w:tcBorders/>
            <w:vAlign w:val="center"/>
          </w:tcPr>
          <w:p>
            <w:pPr>
              <w:pStyle w:val="TableContents"/>
              <w:bidi w:val="0"/>
              <w:spacing w:before="0" w:after="0"/>
              <w:jc w:val="center"/>
              <w:rPr>
                <w:spacing w:val="0"/>
              </w:rPr>
            </w:pPr>
            <w:r>
              <w:rPr>
                <w:spacing w:val="0"/>
              </w:rPr>
              <w:t>   </w:t>
            </w:r>
            <w:r>
              <w:rPr>
                <w:b/>
                <w:spacing w:val="0"/>
              </w:rPr>
              <w:t>December 31,   </w:t>
            </w:r>
          </w:p>
          <w:p>
            <w:pPr>
              <w:pStyle w:val="TableContents"/>
              <w:bidi w:val="0"/>
              <w:spacing w:before="0" w:after="0"/>
              <w:jc w:val="center"/>
              <w:rPr/>
            </w:pPr>
            <w:r>
              <w:rPr/>
            </w:r>
          </w:p>
          <w:p>
            <w:pPr>
              <w:pStyle w:val="TableContents"/>
              <w:bidi w:val="0"/>
              <w:spacing w:before="0" w:after="0"/>
              <w:jc w:val="center"/>
              <w:rPr>
                <w:b/>
                <w:spacing w:val="0"/>
              </w:rPr>
            </w:pPr>
            <w:r>
              <w:rPr>
                <w:b/>
                <w:spacing w:val="0"/>
              </w:rPr>
              <w:t>2025</w:t>
            </w:r>
          </w:p>
        </w:tc>
        <w:tc>
          <w:tcPr>
            <w:tcW w:w="75" w:type="dxa"/>
            <w:tcBorders/>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568" w:type="dxa"/>
            <w:gridSpan w:val="6"/>
            <w:tcBorders/>
            <w:vAlign w:val="center"/>
          </w:tcPr>
          <w:p>
            <w:pPr>
              <w:pStyle w:val="TableContents"/>
              <w:bidi w:val="0"/>
              <w:spacing w:before="0" w:after="0"/>
              <w:jc w:val="center"/>
              <w:rPr>
                <w:b/>
                <w:spacing w:val="0"/>
              </w:rPr>
            </w:pPr>
            <w:r>
              <w:rPr>
                <w:b/>
                <w:spacing w:val="0"/>
              </w:rPr>
              <w:t>(in thousands)</w:t>
            </w:r>
          </w:p>
        </w:tc>
        <w:tc>
          <w:tcPr>
            <w:tcW w:w="75" w:type="dxa"/>
            <w:tcBorders/>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64" w:type="dxa"/>
            <w:gridSpan w:val="2"/>
            <w:tcBorders/>
            <w:vAlign w:val="center"/>
          </w:tcPr>
          <w:p>
            <w:pPr>
              <w:pStyle w:val="TableContents"/>
              <w:bidi w:val="0"/>
              <w:spacing w:before="0" w:after="0"/>
              <w:jc w:val="center"/>
              <w:rPr>
                <w:b/>
                <w:spacing w:val="0"/>
              </w:rPr>
            </w:pPr>
            <w:r>
              <w:rPr>
                <w:b/>
                <w:spacing w:val="0"/>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24" w:type="dxa"/>
            <w:gridSpan w:val="2"/>
            <w:tcBorders/>
            <w:vAlign w:val="center"/>
          </w:tcPr>
          <w:p>
            <w:pPr>
              <w:pStyle w:val="TableContents"/>
              <w:bidi w:val="0"/>
              <w:spacing w:before="0" w:after="0"/>
              <w:jc w:val="center"/>
              <w:rPr>
                <w:b/>
                <w:spacing w:val="0"/>
              </w:rPr>
            </w:pPr>
            <w:r>
              <w:rPr>
                <w:b/>
                <w:spacing w:val="0"/>
              </w:rPr>
              <w:t>£</w:t>
            </w:r>
          </w:p>
        </w:tc>
        <w:tc>
          <w:tcPr>
            <w:tcW w:w="75" w:type="dxa"/>
            <w:tcBorders/>
            <w:vAlign w:val="center"/>
          </w:tcPr>
          <w:p>
            <w:pPr>
              <w:pStyle w:val="TableContents"/>
              <w:bidi w:val="0"/>
              <w:spacing w:before="0" w:after="283"/>
              <w:jc w:val="left"/>
              <w:rPr/>
            </w:pPr>
            <w:r>
              <w:rPr/>
              <w:t> </w:t>
            </w:r>
          </w:p>
        </w:tc>
      </w:tr>
      <w:tr>
        <w:trPr/>
        <w:tc>
          <w:tcPr>
            <w:tcW w:w="125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Share capital</w:t>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2013" w:type="dxa"/>
            <w:tcBorders/>
            <w:shd w:fill="CCEEFF" w:val="clear"/>
            <w:vAlign w:val="center"/>
          </w:tcPr>
          <w:p>
            <w:pPr>
              <w:pStyle w:val="TableContents"/>
              <w:bidi w:val="0"/>
              <w:spacing w:before="0" w:after="283"/>
              <w:jc w:val="right"/>
              <w:rPr/>
            </w:pPr>
            <w:r>
              <w:rPr/>
              <w:t>14,343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2070" w:type="dxa"/>
            <w:tcBorders/>
            <w:shd w:fill="CCEEFF" w:val="clear"/>
            <w:vAlign w:val="center"/>
          </w:tcPr>
          <w:p>
            <w:pPr>
              <w:pStyle w:val="TableContents"/>
              <w:bidi w:val="0"/>
              <w:spacing w:before="0" w:after="283"/>
              <w:jc w:val="right"/>
              <w:rPr/>
            </w:pPr>
            <w:r>
              <w:rPr/>
              <w:t>14,340</w:t>
            </w:r>
          </w:p>
        </w:tc>
        <w:tc>
          <w:tcPr>
            <w:tcW w:w="75" w:type="dxa"/>
            <w:tcBorders/>
            <w:shd w:fill="CCEEFF" w:val="clear"/>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Share premium</w:t>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2013" w:type="dxa"/>
            <w:tcBorders/>
            <w:vAlign w:val="center"/>
          </w:tcPr>
          <w:p>
            <w:pPr>
              <w:pStyle w:val="TableContents"/>
              <w:bidi w:val="0"/>
              <w:spacing w:before="0" w:after="283"/>
              <w:jc w:val="right"/>
              <w:rPr/>
            </w:pPr>
            <w:r>
              <w:rPr/>
              <w:t>175,314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2070" w:type="dxa"/>
            <w:tcBorders/>
            <w:vAlign w:val="center"/>
          </w:tcPr>
          <w:p>
            <w:pPr>
              <w:pStyle w:val="TableContents"/>
              <w:bidi w:val="0"/>
              <w:spacing w:before="0" w:after="283"/>
              <w:jc w:val="right"/>
              <w:rPr/>
            </w:pPr>
            <w:r>
              <w:rPr/>
              <w:t>175,246</w:t>
            </w:r>
          </w:p>
        </w:tc>
        <w:tc>
          <w:tcPr>
            <w:tcW w:w="75" w:type="dxa"/>
            <w:tcBorders/>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01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07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25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0"/>
              <w:jc w:val="left"/>
              <w:rPr>
                <w:spacing w:val="0"/>
              </w:rPr>
            </w:pPr>
            <w:r>
              <w:rPr>
                <w:spacing w:val="0"/>
              </w:rPr>
              <w:t> </w:t>
            </w:r>
          </w:p>
        </w:tc>
        <w:tc>
          <w:tcPr>
            <w:tcW w:w="2013" w:type="dxa"/>
            <w:tcBorders/>
            <w:shd w:fill="CCEEFF" w:val="clear"/>
            <w:vAlign w:val="center"/>
          </w:tcPr>
          <w:p>
            <w:pPr>
              <w:pStyle w:val="TableContents"/>
              <w:bidi w:val="0"/>
              <w:spacing w:before="0" w:after="0"/>
              <w:jc w:val="right"/>
              <w:rPr>
                <w:b/>
                <w:spacing w:val="0"/>
              </w:rPr>
            </w:pPr>
            <w:r>
              <w:rPr>
                <w:b/>
                <w:spacing w:val="0"/>
              </w:rPr>
              <w:t>189,657</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0"/>
              <w:jc w:val="left"/>
              <w:rPr>
                <w:spacing w:val="0"/>
              </w:rPr>
            </w:pPr>
            <w:r>
              <w:rPr>
                <w:spacing w:val="0"/>
              </w:rPr>
              <w:t> </w:t>
            </w:r>
          </w:p>
        </w:tc>
        <w:tc>
          <w:tcPr>
            <w:tcW w:w="2070" w:type="dxa"/>
            <w:tcBorders/>
            <w:shd w:fill="CCEEFF" w:val="clear"/>
            <w:vAlign w:val="center"/>
          </w:tcPr>
          <w:p>
            <w:pPr>
              <w:pStyle w:val="TableContents"/>
              <w:bidi w:val="0"/>
              <w:spacing w:before="0" w:after="0"/>
              <w:jc w:val="right"/>
              <w:rPr>
                <w:b/>
                <w:spacing w:val="0"/>
              </w:rPr>
            </w:pPr>
            <w:r>
              <w:rPr>
                <w:b/>
                <w:spacing w:val="0"/>
              </w:rPr>
              <w:t>189,586</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01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07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spacing w:val="0"/>
        </w:rPr>
      </w:pPr>
      <w:r>
        <w:rPr>
          <w:spacing w:val="0"/>
        </w:rPr>
        <w:t> </w:t>
      </w:r>
    </w:p>
    <w:tbl>
      <w:tblPr>
        <w:tblW w:w="7408" w:type="dxa"/>
        <w:jc w:val="left"/>
        <w:tblInd w:w="0" w:type="dxa"/>
        <w:tblLayout w:type="fixed"/>
        <w:tblCellMar>
          <w:top w:w="0" w:type="dxa"/>
          <w:left w:w="0" w:type="dxa"/>
          <w:bottom w:w="0" w:type="dxa"/>
          <w:right w:w="0" w:type="dxa"/>
        </w:tblCellMar>
      </w:tblPr>
      <w:tblGrid>
        <w:gridCol w:w="2615"/>
        <w:gridCol w:w="120"/>
        <w:gridCol w:w="90"/>
        <w:gridCol w:w="2119"/>
        <w:gridCol w:w="60"/>
        <w:gridCol w:w="120"/>
        <w:gridCol w:w="114"/>
        <w:gridCol w:w="2095"/>
        <w:gridCol w:w="75"/>
      </w:tblGrid>
      <w:tr>
        <w:trPr/>
        <w:tc>
          <w:tcPr>
            <w:tcW w:w="26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6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598" w:type="dxa"/>
            <w:gridSpan w:val="6"/>
            <w:tcBorders/>
            <w:vAlign w:val="center"/>
          </w:tcPr>
          <w:p>
            <w:pPr>
              <w:pStyle w:val="TableContents"/>
              <w:bidi w:val="0"/>
              <w:spacing w:before="0" w:after="0"/>
              <w:jc w:val="center"/>
              <w:rPr>
                <w:b/>
                <w:spacing w:val="0"/>
              </w:rPr>
            </w:pPr>
            <w:r>
              <w:rPr>
                <w:b/>
                <w:spacing w:val="0"/>
              </w:rPr>
              <w:t>Number</w:t>
            </w:r>
          </w:p>
          <w:p>
            <w:pPr>
              <w:pStyle w:val="TableContents"/>
              <w:bidi w:val="0"/>
              <w:spacing w:before="0" w:after="0"/>
              <w:jc w:val="center"/>
              <w:rPr/>
            </w:pPr>
            <w:r>
              <w:rPr/>
            </w:r>
          </w:p>
          <w:p>
            <w:pPr>
              <w:pStyle w:val="TableContents"/>
              <w:bidi w:val="0"/>
              <w:spacing w:before="0" w:after="0"/>
              <w:jc w:val="center"/>
              <w:rPr>
                <w:b/>
                <w:spacing w:val="0"/>
              </w:rPr>
            </w:pPr>
            <w:r>
              <w:rPr>
                <w:b/>
                <w:spacing w:val="0"/>
              </w:rPr>
              <w:t>(in thousands)</w:t>
            </w:r>
          </w:p>
        </w:tc>
        <w:tc>
          <w:tcPr>
            <w:tcW w:w="75"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9" w:type="dxa"/>
            <w:gridSpan w:val="2"/>
            <w:tcBorders/>
            <w:vAlign w:val="center"/>
          </w:tcPr>
          <w:p>
            <w:pPr>
              <w:pStyle w:val="TableContents"/>
              <w:bidi w:val="0"/>
              <w:spacing w:before="0" w:after="0"/>
              <w:jc w:val="center"/>
              <w:rPr>
                <w:spacing w:val="0"/>
              </w:rPr>
            </w:pPr>
            <w:r>
              <w:rPr>
                <w:spacing w:val="0"/>
              </w:rPr>
              <w:t>  </w:t>
            </w:r>
            <w:r>
              <w:rPr>
                <w:b/>
                <w:spacing w:val="0"/>
              </w:rPr>
              <w:t>Nominal value  </w:t>
            </w:r>
          </w:p>
          <w:p>
            <w:pPr>
              <w:pStyle w:val="TableContents"/>
              <w:bidi w:val="0"/>
              <w:spacing w:before="0" w:after="0"/>
              <w:jc w:val="center"/>
              <w:rPr/>
            </w:pPr>
            <w:r>
              <w:rPr/>
            </w:r>
          </w:p>
          <w:p>
            <w:pPr>
              <w:pStyle w:val="TableContents"/>
              <w:bidi w:val="0"/>
              <w:spacing w:before="0" w:after="0"/>
              <w:jc w:val="center"/>
              <w:rPr>
                <w:b/>
                <w:spacing w:val="0"/>
              </w:rPr>
            </w:pPr>
            <w:r>
              <w:rPr>
                <w:b/>
                <w:spacing w:val="0"/>
              </w:rPr>
              <w:t>£0.000004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9" w:type="dxa"/>
            <w:gridSpan w:val="2"/>
            <w:tcBorders/>
            <w:vAlign w:val="center"/>
          </w:tcPr>
          <w:p>
            <w:pPr>
              <w:pStyle w:val="TableContents"/>
              <w:bidi w:val="0"/>
              <w:spacing w:before="0" w:after="0"/>
              <w:jc w:val="center"/>
              <w:rPr>
                <w:spacing w:val="0"/>
              </w:rPr>
            </w:pPr>
            <w:r>
              <w:rPr>
                <w:spacing w:val="0"/>
              </w:rPr>
              <w:t>  </w:t>
            </w:r>
            <w:r>
              <w:rPr>
                <w:b/>
                <w:spacing w:val="0"/>
              </w:rPr>
              <w:t>Nominal value  </w:t>
            </w:r>
          </w:p>
          <w:p>
            <w:pPr>
              <w:pStyle w:val="TableContents"/>
              <w:bidi w:val="0"/>
              <w:spacing w:before="0" w:after="0"/>
              <w:jc w:val="center"/>
              <w:rPr/>
            </w:pPr>
            <w:r>
              <w:rPr/>
            </w:r>
          </w:p>
          <w:p>
            <w:pPr>
              <w:pStyle w:val="TableContents"/>
              <w:bidi w:val="0"/>
              <w:spacing w:before="0" w:after="0"/>
              <w:jc w:val="center"/>
              <w:rPr>
                <w:b/>
                <w:spacing w:val="0"/>
              </w:rPr>
            </w:pPr>
            <w:r>
              <w:rPr>
                <w:b/>
                <w:spacing w:val="0"/>
              </w:rPr>
              <w:t>£0.0004</w:t>
            </w:r>
          </w:p>
        </w:tc>
        <w:tc>
          <w:tcPr>
            <w:tcW w:w="75"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Issued share capital comprises:</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211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sz w:val="4"/>
                <w:szCs w:val="4"/>
              </w:rPr>
            </w:pPr>
            <w:r>
              <w:rPr>
                <w:sz w:val="4"/>
                <w:szCs w:val="4"/>
              </w:rPr>
            </w:r>
          </w:p>
        </w:tc>
        <w:tc>
          <w:tcPr>
            <w:tcW w:w="2095"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6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Ordinary shares</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9" w:type="dxa"/>
            <w:tcBorders/>
            <w:vAlign w:val="center"/>
          </w:tcPr>
          <w:p>
            <w:pPr>
              <w:pStyle w:val="TableContents"/>
              <w:bidi w:val="0"/>
              <w:spacing w:before="0" w:after="283"/>
              <w:jc w:val="right"/>
              <w:rPr/>
            </w:pPr>
            <w:r>
              <w:rPr/>
              <w:t>21,547,775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2095" w:type="dxa"/>
            <w:tcBorders/>
            <w:vAlign w:val="center"/>
          </w:tcPr>
          <w:p>
            <w:pPr>
              <w:pStyle w:val="TableContents"/>
              <w:bidi w:val="0"/>
              <w:spacing w:before="0" w:after="283"/>
              <w:jc w:val="right"/>
              <w:rPr/>
            </w:pPr>
            <w:r>
              <w:rPr/>
              <w:t>20,809,855</w:t>
            </w:r>
          </w:p>
        </w:tc>
        <w:tc>
          <w:tcPr>
            <w:tcW w:w="75"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Deferred shares</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9" w:type="dxa"/>
            <w:tcBorders/>
            <w:shd w:fill="CCEEFF" w:val="clear"/>
            <w:vAlign w:val="center"/>
          </w:tcPr>
          <w:p>
            <w:pPr>
              <w:pStyle w:val="TableContents"/>
              <w:bidi w:val="0"/>
              <w:spacing w:before="0" w:after="283"/>
              <w:jc w:val="right"/>
              <w:rPr/>
            </w:pPr>
            <w:r>
              <w:rPr/>
              <w:t>3,564,222,220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095" w:type="dxa"/>
            <w:tcBorders/>
            <w:shd w:fill="CCEEFF" w:val="clear"/>
            <w:vAlign w:val="center"/>
          </w:tcPr>
          <w:p>
            <w:pPr>
              <w:pStyle w:val="TableContents"/>
              <w:bidi w:val="0"/>
              <w:spacing w:before="0" w:after="283"/>
              <w:jc w:val="right"/>
              <w:rPr/>
            </w:pPr>
            <w:r>
              <w:rPr/>
              <w:t>15,040,466</w:t>
            </w:r>
          </w:p>
        </w:tc>
        <w:tc>
          <w:tcPr>
            <w:tcW w:w="75" w:type="dxa"/>
            <w:tcBorders/>
            <w:shd w:fill="CCEEFF" w:val="clear"/>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11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0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0"/>
              <w:jc w:val="left"/>
              <w:rPr>
                <w:spacing w:val="0"/>
              </w:rPr>
            </w:pPr>
            <w:r>
              <w:rPr>
                <w:spacing w:val="0"/>
              </w:rPr>
              <w:t> </w:t>
            </w:r>
          </w:p>
        </w:tc>
        <w:tc>
          <w:tcPr>
            <w:tcW w:w="2119" w:type="dxa"/>
            <w:tcBorders/>
            <w:vAlign w:val="center"/>
          </w:tcPr>
          <w:p>
            <w:pPr>
              <w:pStyle w:val="TableContents"/>
              <w:bidi w:val="0"/>
              <w:spacing w:before="0" w:after="0"/>
              <w:jc w:val="right"/>
              <w:rPr>
                <w:b/>
                <w:spacing w:val="0"/>
              </w:rPr>
            </w:pPr>
            <w:r>
              <w:rPr>
                <w:b/>
                <w:spacing w:val="0"/>
              </w:rPr>
              <w:t>3,585,769,995</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0"/>
              <w:jc w:val="left"/>
              <w:rPr>
                <w:spacing w:val="0"/>
              </w:rPr>
            </w:pPr>
            <w:r>
              <w:rPr>
                <w:spacing w:val="0"/>
              </w:rPr>
              <w:t> </w:t>
            </w:r>
          </w:p>
        </w:tc>
        <w:tc>
          <w:tcPr>
            <w:tcW w:w="2095" w:type="dxa"/>
            <w:tcBorders/>
            <w:vAlign w:val="center"/>
          </w:tcPr>
          <w:p>
            <w:pPr>
              <w:pStyle w:val="TableContents"/>
              <w:bidi w:val="0"/>
              <w:spacing w:before="0" w:after="0"/>
              <w:jc w:val="right"/>
              <w:rPr>
                <w:b/>
                <w:spacing w:val="0"/>
              </w:rPr>
            </w:pPr>
            <w:r>
              <w:rPr>
                <w:b/>
                <w:spacing w:val="0"/>
              </w:rPr>
              <w:t>35,850,321</w:t>
            </w:r>
          </w:p>
        </w:tc>
        <w:tc>
          <w:tcPr>
            <w:tcW w:w="75" w:type="dxa"/>
            <w:tcBorders/>
            <w:vAlign w:val="center"/>
          </w:tcPr>
          <w:p>
            <w:pPr>
              <w:pStyle w:val="TableContents"/>
              <w:bidi w:val="0"/>
              <w:spacing w:before="0" w:after="0"/>
              <w:jc w:val="left"/>
              <w:rPr>
                <w:spacing w:val="0"/>
              </w:rPr>
            </w:pPr>
            <w:r>
              <w:rPr>
                <w:spacing w:val="0"/>
              </w:rPr>
              <w:t> </w:t>
            </w:r>
          </w:p>
        </w:tc>
      </w:tr>
      <w:tr>
        <w:trPr/>
        <w:tc>
          <w:tcPr>
            <w:tcW w:w="26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11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0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spacing w:val="0"/>
        </w:rPr>
      </w:pPr>
      <w:r>
        <w:rPr>
          <w:spacing w:val="0"/>
        </w:rPr>
        <w:t> </w:t>
      </w:r>
    </w:p>
    <w:tbl>
      <w:tblPr>
        <w:tblW w:w="10285" w:type="dxa"/>
        <w:jc w:val="left"/>
        <w:tblInd w:w="0" w:type="dxa"/>
        <w:tblLayout w:type="fixed"/>
        <w:tblCellMar>
          <w:top w:w="0" w:type="dxa"/>
          <w:left w:w="0" w:type="dxa"/>
          <w:bottom w:w="0" w:type="dxa"/>
          <w:right w:w="0" w:type="dxa"/>
        </w:tblCellMar>
      </w:tblPr>
      <w:tblGrid>
        <w:gridCol w:w="1265"/>
        <w:gridCol w:w="120"/>
        <w:gridCol w:w="84"/>
        <w:gridCol w:w="1541"/>
        <w:gridCol w:w="60"/>
        <w:gridCol w:w="120"/>
        <w:gridCol w:w="65"/>
        <w:gridCol w:w="1530"/>
        <w:gridCol w:w="60"/>
        <w:gridCol w:w="120"/>
        <w:gridCol w:w="137"/>
        <w:gridCol w:w="1458"/>
        <w:gridCol w:w="155"/>
        <w:gridCol w:w="60"/>
        <w:gridCol w:w="125"/>
        <w:gridCol w:w="1425"/>
        <w:gridCol w:w="60"/>
        <w:gridCol w:w="120"/>
        <w:gridCol w:w="112"/>
        <w:gridCol w:w="1498"/>
        <w:gridCol w:w="170"/>
      </w:tblGrid>
      <w:tr>
        <w:trPr/>
        <w:tc>
          <w:tcPr>
            <w:tcW w:w="12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25" w:type="dxa"/>
            <w:gridSpan w:val="2"/>
            <w:tcBorders/>
            <w:vAlign w:val="center"/>
          </w:tcPr>
          <w:p>
            <w:pPr>
              <w:pStyle w:val="TableContents"/>
              <w:bidi w:val="0"/>
              <w:spacing w:before="0" w:after="0"/>
              <w:jc w:val="center"/>
              <w:rPr>
                <w:b/>
                <w:spacing w:val="0"/>
              </w:rPr>
            </w:pPr>
            <w:r>
              <w:rPr>
                <w:b/>
                <w:spacing w:val="0"/>
              </w:rPr>
              <w:t>Number of</w:t>
            </w:r>
          </w:p>
          <w:p>
            <w:pPr>
              <w:pStyle w:val="TableContents"/>
              <w:bidi w:val="0"/>
              <w:spacing w:before="0" w:after="0"/>
              <w:jc w:val="center"/>
              <w:rPr/>
            </w:pPr>
            <w:r>
              <w:rPr/>
            </w:r>
          </w:p>
          <w:p>
            <w:pPr>
              <w:pStyle w:val="TableContents"/>
              <w:bidi w:val="0"/>
              <w:spacing w:before="0" w:after="0"/>
              <w:jc w:val="center"/>
              <w:rPr>
                <w:spacing w:val="0"/>
              </w:rPr>
            </w:pPr>
            <w:r>
              <w:rPr>
                <w:spacing w:val="0"/>
              </w:rPr>
              <w:t> </w:t>
            </w:r>
            <w:r>
              <w:rPr>
                <w:b/>
                <w:spacing w:val="0"/>
              </w:rPr>
              <w:t>ordinary shares 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5" w:type="dxa"/>
            <w:gridSpan w:val="2"/>
            <w:tcBorders/>
            <w:vAlign w:val="center"/>
          </w:tcPr>
          <w:p>
            <w:pPr>
              <w:pStyle w:val="TableContents"/>
              <w:bidi w:val="0"/>
              <w:spacing w:before="0" w:after="0"/>
              <w:jc w:val="center"/>
              <w:rPr>
                <w:b/>
                <w:spacing w:val="0"/>
              </w:rPr>
            </w:pPr>
            <w:r>
              <w:rPr>
                <w:b/>
                <w:spacing w:val="0"/>
              </w:rPr>
              <w:t>Number of</w:t>
            </w:r>
          </w:p>
          <w:p>
            <w:pPr>
              <w:pStyle w:val="TableContents"/>
              <w:bidi w:val="0"/>
              <w:spacing w:before="0" w:after="0"/>
              <w:jc w:val="center"/>
              <w:rPr/>
            </w:pPr>
            <w:r>
              <w:rPr/>
            </w:r>
          </w:p>
          <w:p>
            <w:pPr>
              <w:pStyle w:val="TableContents"/>
              <w:bidi w:val="0"/>
              <w:spacing w:before="0" w:after="0"/>
              <w:jc w:val="center"/>
              <w:rPr>
                <w:spacing w:val="0"/>
              </w:rPr>
            </w:pPr>
            <w:r>
              <w:rPr>
                <w:spacing w:val="0"/>
              </w:rPr>
              <w:t> </w:t>
            </w:r>
            <w:r>
              <w:rPr>
                <w:b/>
                <w:spacing w:val="0"/>
              </w:rPr>
              <w:t>deferred shares 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5" w:type="dxa"/>
            <w:gridSpan w:val="2"/>
            <w:tcBorders/>
            <w:vAlign w:val="center"/>
          </w:tcPr>
          <w:p>
            <w:pPr>
              <w:pStyle w:val="TableContents"/>
              <w:bidi w:val="0"/>
              <w:spacing w:before="0" w:after="0"/>
              <w:jc w:val="center"/>
              <w:rPr>
                <w:spacing w:val="0"/>
              </w:rPr>
            </w:pPr>
            <w:r>
              <w:rPr>
                <w:spacing w:val="0"/>
              </w:rPr>
              <w:t> </w:t>
            </w:r>
            <w:r>
              <w:rPr>
                <w:b/>
                <w:spacing w:val="0"/>
              </w:rPr>
              <w:t>Ordinary share </w:t>
            </w:r>
          </w:p>
          <w:p>
            <w:pPr>
              <w:pStyle w:val="TableContents"/>
              <w:bidi w:val="0"/>
              <w:spacing w:before="0" w:after="0"/>
              <w:jc w:val="center"/>
              <w:rPr/>
            </w:pPr>
            <w:r>
              <w:rPr/>
            </w:r>
          </w:p>
          <w:p>
            <w:pPr>
              <w:pStyle w:val="TableContents"/>
              <w:bidi w:val="0"/>
              <w:spacing w:before="0" w:after="0"/>
              <w:jc w:val="center"/>
              <w:rPr>
                <w:b/>
                <w:spacing w:val="0"/>
              </w:rPr>
            </w:pPr>
            <w:r>
              <w:rPr>
                <w:b/>
                <w:spacing w:val="0"/>
              </w:rPr>
              <w:t>capital</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0" w:type="dxa"/>
            <w:gridSpan w:val="2"/>
            <w:tcBorders/>
            <w:vAlign w:val="center"/>
          </w:tcPr>
          <w:p>
            <w:pPr>
              <w:pStyle w:val="TableContents"/>
              <w:bidi w:val="0"/>
              <w:spacing w:before="0" w:after="0"/>
              <w:jc w:val="center"/>
              <w:rPr>
                <w:spacing w:val="0"/>
              </w:rPr>
            </w:pPr>
            <w:r>
              <w:rPr>
                <w:spacing w:val="0"/>
              </w:rPr>
              <w:t> </w:t>
            </w:r>
            <w:r>
              <w:rPr>
                <w:b/>
                <w:spacing w:val="0"/>
              </w:rPr>
              <w:t>Deferred share </w:t>
            </w:r>
          </w:p>
          <w:p>
            <w:pPr>
              <w:pStyle w:val="TableContents"/>
              <w:bidi w:val="0"/>
              <w:spacing w:before="0" w:after="0"/>
              <w:jc w:val="center"/>
              <w:rPr/>
            </w:pPr>
            <w:r>
              <w:rPr/>
            </w:r>
          </w:p>
          <w:p>
            <w:pPr>
              <w:pStyle w:val="TableContents"/>
              <w:bidi w:val="0"/>
              <w:spacing w:before="0" w:after="0"/>
              <w:jc w:val="center"/>
              <w:rPr>
                <w:b/>
                <w:spacing w:val="0"/>
              </w:rPr>
            </w:pPr>
            <w:r>
              <w:rPr>
                <w:b/>
                <w:spacing w:val="0"/>
              </w:rPr>
              <w:t>capital</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0"/>
              <w:jc w:val="center"/>
              <w:rPr>
                <w:spacing w:val="0"/>
              </w:rPr>
            </w:pPr>
            <w:r>
              <w:rPr>
                <w:spacing w:val="0"/>
              </w:rPr>
              <w:t> </w:t>
            </w:r>
            <w:r>
              <w:rPr>
                <w:b/>
                <w:spacing w:val="0"/>
              </w:rPr>
              <w:t>Share premium </w:t>
            </w:r>
          </w:p>
        </w:tc>
        <w:tc>
          <w:tcPr>
            <w:tcW w:w="17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30" w:type="dxa"/>
            <w:gridSpan w:val="18"/>
            <w:tcBorders/>
            <w:vAlign w:val="center"/>
          </w:tcPr>
          <w:p>
            <w:pPr>
              <w:pStyle w:val="TableContents"/>
              <w:bidi w:val="0"/>
              <w:spacing w:before="0" w:after="0"/>
              <w:jc w:val="center"/>
              <w:rPr>
                <w:b/>
                <w:spacing w:val="0"/>
              </w:rPr>
            </w:pPr>
            <w:r>
              <w:rPr>
                <w:b/>
                <w:spacing w:val="0"/>
              </w:rPr>
              <w:t>(in thousands)</w:t>
            </w:r>
          </w:p>
        </w:tc>
        <w:tc>
          <w:tcPr>
            <w:tcW w:w="17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2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5" w:type="dxa"/>
            <w:gridSpan w:val="2"/>
            <w:tcBorders/>
            <w:vAlign w:val="center"/>
          </w:tcPr>
          <w:p>
            <w:pPr>
              <w:pStyle w:val="TableContents"/>
              <w:bidi w:val="0"/>
              <w:spacing w:before="0" w:after="0"/>
              <w:jc w:val="center"/>
              <w:rPr>
                <w:b/>
                <w:spacing w:val="0"/>
              </w:rPr>
            </w:pPr>
            <w:r>
              <w:rPr>
                <w:b/>
                <w:spacing w:val="0"/>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0" w:type="dxa"/>
            <w:gridSpan w:val="2"/>
            <w:tcBorders/>
            <w:vAlign w:val="center"/>
          </w:tcPr>
          <w:p>
            <w:pPr>
              <w:pStyle w:val="TableContents"/>
              <w:bidi w:val="0"/>
              <w:spacing w:before="0" w:after="0"/>
              <w:jc w:val="center"/>
              <w:rPr>
                <w:b/>
                <w:spacing w:val="0"/>
              </w:rPr>
            </w:pPr>
            <w:r>
              <w:rPr>
                <w:b/>
                <w:spacing w:val="0"/>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0"/>
              <w:jc w:val="center"/>
              <w:rPr>
                <w:b/>
                <w:spacing w:val="0"/>
              </w:rPr>
            </w:pPr>
            <w:r>
              <w:rPr>
                <w:b/>
                <w:spacing w:val="0"/>
              </w:rPr>
              <w:t>£</w:t>
            </w:r>
          </w:p>
        </w:tc>
        <w:tc>
          <w:tcPr>
            <w:tcW w:w="170"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Fully paid shares:</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sz w:val="4"/>
                <w:szCs w:val="4"/>
              </w:rPr>
            </w:pPr>
            <w:r>
              <w:rPr>
                <w:sz w:val="4"/>
                <w:szCs w:val="4"/>
              </w:rPr>
            </w:r>
          </w:p>
        </w:tc>
        <w:tc>
          <w:tcPr>
            <w:tcW w:w="154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sz w:val="4"/>
                <w:szCs w:val="4"/>
              </w:rPr>
            </w:pPr>
            <w:r>
              <w:rPr>
                <w:sz w:val="4"/>
                <w:szCs w:val="4"/>
              </w:rPr>
            </w:r>
          </w:p>
        </w:tc>
        <w:tc>
          <w:tcPr>
            <w:tcW w:w="15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45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42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sz w:val="4"/>
                <w:szCs w:val="4"/>
              </w:rPr>
            </w:pPr>
            <w:r>
              <w:rPr>
                <w:sz w:val="4"/>
                <w:szCs w:val="4"/>
              </w:rPr>
            </w:r>
          </w:p>
        </w:tc>
        <w:tc>
          <w:tcPr>
            <w:tcW w:w="1498"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12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Balance at December 31, 2025</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541" w:type="dxa"/>
            <w:tcBorders/>
            <w:vAlign w:val="center"/>
          </w:tcPr>
          <w:p>
            <w:pPr>
              <w:pStyle w:val="TableContents"/>
              <w:bidi w:val="0"/>
              <w:spacing w:before="0" w:after="283"/>
              <w:jc w:val="right"/>
              <w:rPr/>
            </w:pPr>
            <w:r>
              <w:rPr/>
              <w:t>20,809,855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530" w:type="dxa"/>
            <w:tcBorders/>
            <w:vAlign w:val="center"/>
          </w:tcPr>
          <w:p>
            <w:pPr>
              <w:pStyle w:val="TableContents"/>
              <w:bidi w:val="0"/>
              <w:spacing w:before="0" w:after="283"/>
              <w:jc w:val="right"/>
              <w:rPr/>
            </w:pPr>
            <w:r>
              <w:rPr/>
              <w:t>15,040,466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458" w:type="dxa"/>
            <w:tcBorders/>
            <w:vAlign w:val="center"/>
          </w:tcPr>
          <w:p>
            <w:pPr>
              <w:pStyle w:val="TableContents"/>
              <w:bidi w:val="0"/>
              <w:spacing w:before="0" w:after="283"/>
              <w:jc w:val="right"/>
              <w:rPr/>
            </w:pPr>
            <w:r>
              <w:rPr/>
              <w:t>8,324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425" w:type="dxa"/>
            <w:tcBorders/>
            <w:vAlign w:val="center"/>
          </w:tcPr>
          <w:p>
            <w:pPr>
              <w:pStyle w:val="TableContents"/>
              <w:bidi w:val="0"/>
              <w:spacing w:before="0" w:after="283"/>
              <w:jc w:val="right"/>
              <w:rPr/>
            </w:pPr>
            <w:r>
              <w:rPr/>
              <w:t>6,016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498" w:type="dxa"/>
            <w:tcBorders/>
            <w:vAlign w:val="center"/>
          </w:tcPr>
          <w:p>
            <w:pPr>
              <w:pStyle w:val="TableContents"/>
              <w:bidi w:val="0"/>
              <w:spacing w:before="0" w:after="283"/>
              <w:jc w:val="right"/>
              <w:rPr/>
            </w:pPr>
            <w:r>
              <w:rPr/>
              <w:t>175,246</w:t>
            </w:r>
          </w:p>
        </w:tc>
        <w:tc>
          <w:tcPr>
            <w:tcW w:w="170"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Subdivision and reclassification of share capital</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54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0" w:type="dxa"/>
            <w:tcBorders/>
            <w:shd w:fill="CCEEFF" w:val="clear"/>
            <w:vAlign w:val="center"/>
          </w:tcPr>
          <w:p>
            <w:pPr>
              <w:pStyle w:val="TableContents"/>
              <w:bidi w:val="0"/>
              <w:spacing w:before="0" w:after="283"/>
              <w:jc w:val="right"/>
              <w:rPr/>
            </w:pPr>
            <w:r>
              <w:rPr/>
              <w:t>3,549,181,754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458" w:type="dxa"/>
            <w:tcBorders/>
            <w:shd w:fill="CCEEFF" w:val="clear"/>
            <w:vAlign w:val="center"/>
          </w:tcPr>
          <w:p>
            <w:pPr>
              <w:pStyle w:val="TableContents"/>
              <w:bidi w:val="0"/>
              <w:spacing w:before="0" w:after="283"/>
              <w:jc w:val="right"/>
              <w:rPr/>
            </w:pPr>
            <w:r>
              <w:rPr/>
              <w:t>(8,241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right"/>
              <w:rPr/>
            </w:pPr>
            <w:r>
              <w:rPr/>
              <w:t>8,241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498"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Issue of share capital</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541" w:type="dxa"/>
            <w:tcBorders/>
            <w:vAlign w:val="center"/>
          </w:tcPr>
          <w:p>
            <w:pPr>
              <w:pStyle w:val="TableContents"/>
              <w:bidi w:val="0"/>
              <w:spacing w:before="0" w:after="283"/>
              <w:jc w:val="right"/>
              <w:rPr/>
            </w:pPr>
            <w:r>
              <w:rPr/>
              <w:t>737,920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0"/>
              <w:jc w:val="left"/>
              <w:rPr>
                <w:spacing w:val="0"/>
              </w:rPr>
            </w:pPr>
            <w:r>
              <w:rPr>
                <w:spacing w:val="0"/>
              </w:rPr>
              <w:t> </w:t>
            </w:r>
          </w:p>
        </w:tc>
        <w:tc>
          <w:tcPr>
            <w:tcW w:w="1530" w:type="dxa"/>
            <w:tcBorders/>
            <w:vAlign w:val="center"/>
          </w:tcPr>
          <w:p>
            <w:pPr>
              <w:pStyle w:val="TableContents"/>
              <w:bidi w:val="0"/>
              <w:spacing w:before="0" w:after="0"/>
              <w:jc w:val="righ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458" w:type="dxa"/>
            <w:tcBorders/>
            <w:vAlign w:val="center"/>
          </w:tcPr>
          <w:p>
            <w:pPr>
              <w:pStyle w:val="TableContents"/>
              <w:bidi w:val="0"/>
              <w:spacing w:before="0" w:after="283"/>
              <w:jc w:val="right"/>
              <w:rPr/>
            </w:pPr>
            <w:r>
              <w:rPr/>
              <w:t>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4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498" w:type="dxa"/>
            <w:tcBorders/>
            <w:vAlign w:val="center"/>
          </w:tcPr>
          <w:p>
            <w:pPr>
              <w:pStyle w:val="TableContents"/>
              <w:bidi w:val="0"/>
              <w:spacing w:before="0" w:after="283"/>
              <w:jc w:val="right"/>
              <w:rPr/>
            </w:pPr>
            <w:r>
              <w:rPr/>
              <w:t>203</w:t>
            </w:r>
          </w:p>
        </w:tc>
        <w:tc>
          <w:tcPr>
            <w:tcW w:w="170"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 issue expenses</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54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0"/>
              <w:jc w:val="left"/>
              <w:rPr>
                <w:spacing w:val="0"/>
              </w:rPr>
            </w:pPr>
            <w:r>
              <w:rPr>
                <w:spacing w:val="0"/>
              </w:rPr>
              <w:t> </w:t>
            </w:r>
          </w:p>
        </w:tc>
        <w:tc>
          <w:tcPr>
            <w:tcW w:w="1530"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45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498" w:type="dxa"/>
            <w:tcBorders/>
            <w:shd w:fill="CCEEFF" w:val="clear"/>
            <w:vAlign w:val="center"/>
          </w:tcPr>
          <w:p>
            <w:pPr>
              <w:pStyle w:val="TableContents"/>
              <w:bidi w:val="0"/>
              <w:spacing w:before="0" w:after="283"/>
              <w:jc w:val="right"/>
              <w:rPr/>
            </w:pPr>
            <w:r>
              <w:rPr/>
              <w:t>(135</w:t>
            </w:r>
          </w:p>
        </w:tc>
        <w:tc>
          <w:tcPr>
            <w:tcW w:w="170" w:type="dxa"/>
            <w:tcBorders/>
            <w:shd w:fill="CCEEFF" w:val="cle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4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3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5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2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9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Balance at June 30, 2026</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0"/>
              <w:jc w:val="left"/>
              <w:rPr>
                <w:spacing w:val="0"/>
              </w:rPr>
            </w:pPr>
            <w:r>
              <w:rPr>
                <w:spacing w:val="0"/>
              </w:rPr>
              <w:t> </w:t>
            </w:r>
          </w:p>
        </w:tc>
        <w:tc>
          <w:tcPr>
            <w:tcW w:w="1541" w:type="dxa"/>
            <w:tcBorders/>
            <w:vAlign w:val="center"/>
          </w:tcPr>
          <w:p>
            <w:pPr>
              <w:pStyle w:val="TableContents"/>
              <w:bidi w:val="0"/>
              <w:spacing w:before="0" w:after="0"/>
              <w:jc w:val="right"/>
              <w:rPr>
                <w:b/>
                <w:spacing w:val="0"/>
              </w:rPr>
            </w:pPr>
            <w:r>
              <w:rPr>
                <w:b/>
                <w:spacing w:val="0"/>
              </w:rPr>
              <w:t>21,547,775</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0"/>
              <w:jc w:val="left"/>
              <w:rPr>
                <w:spacing w:val="0"/>
              </w:rPr>
            </w:pPr>
            <w:r>
              <w:rPr>
                <w:spacing w:val="0"/>
              </w:rPr>
              <w:t> </w:t>
            </w:r>
          </w:p>
        </w:tc>
        <w:tc>
          <w:tcPr>
            <w:tcW w:w="1530" w:type="dxa"/>
            <w:tcBorders/>
            <w:vAlign w:val="center"/>
          </w:tcPr>
          <w:p>
            <w:pPr>
              <w:pStyle w:val="TableContents"/>
              <w:bidi w:val="0"/>
              <w:spacing w:before="0" w:after="0"/>
              <w:jc w:val="right"/>
              <w:rPr>
                <w:b/>
                <w:spacing w:val="0"/>
              </w:rPr>
            </w:pPr>
            <w:r>
              <w:rPr>
                <w:b/>
                <w:spacing w:val="0"/>
              </w:rPr>
              <w:t>3,564,222,220</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jc w:val="left"/>
              <w:rPr>
                <w:spacing w:val="0"/>
              </w:rPr>
            </w:pPr>
            <w:r>
              <w:rPr>
                <w:spacing w:val="0"/>
              </w:rPr>
              <w:t> </w:t>
            </w:r>
          </w:p>
        </w:tc>
        <w:tc>
          <w:tcPr>
            <w:tcW w:w="1458" w:type="dxa"/>
            <w:tcBorders/>
            <w:vAlign w:val="center"/>
          </w:tcPr>
          <w:p>
            <w:pPr>
              <w:pStyle w:val="TableContents"/>
              <w:bidi w:val="0"/>
              <w:spacing w:before="0" w:after="0"/>
              <w:jc w:val="right"/>
              <w:rPr>
                <w:b/>
                <w:spacing w:val="0"/>
              </w:rPr>
            </w:pPr>
            <w:r>
              <w:rPr>
                <w:b/>
                <w:spacing w:val="0"/>
              </w:rPr>
              <w:t>86</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jc w:val="left"/>
              <w:rPr>
                <w:spacing w:val="0"/>
              </w:rPr>
            </w:pPr>
            <w:r>
              <w:rPr>
                <w:spacing w:val="0"/>
              </w:rPr>
              <w:t> </w:t>
            </w:r>
          </w:p>
        </w:tc>
        <w:tc>
          <w:tcPr>
            <w:tcW w:w="1425" w:type="dxa"/>
            <w:tcBorders/>
            <w:vAlign w:val="center"/>
          </w:tcPr>
          <w:p>
            <w:pPr>
              <w:pStyle w:val="TableContents"/>
              <w:bidi w:val="0"/>
              <w:spacing w:before="0" w:after="0"/>
              <w:jc w:val="right"/>
              <w:rPr>
                <w:b/>
                <w:spacing w:val="0"/>
              </w:rPr>
            </w:pPr>
            <w:r>
              <w:rPr>
                <w:b/>
                <w:spacing w:val="0"/>
              </w:rPr>
              <w:t>14,257</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0"/>
              <w:jc w:val="left"/>
              <w:rPr>
                <w:spacing w:val="0"/>
              </w:rPr>
            </w:pPr>
            <w:r>
              <w:rPr>
                <w:spacing w:val="0"/>
              </w:rPr>
              <w:t> </w:t>
            </w:r>
          </w:p>
        </w:tc>
        <w:tc>
          <w:tcPr>
            <w:tcW w:w="1498" w:type="dxa"/>
            <w:tcBorders/>
            <w:vAlign w:val="center"/>
          </w:tcPr>
          <w:p>
            <w:pPr>
              <w:pStyle w:val="TableContents"/>
              <w:bidi w:val="0"/>
              <w:spacing w:before="0" w:after="0"/>
              <w:jc w:val="right"/>
              <w:rPr>
                <w:b/>
                <w:spacing w:val="0"/>
              </w:rPr>
            </w:pPr>
            <w:r>
              <w:rPr>
                <w:b/>
                <w:spacing w:val="0"/>
              </w:rPr>
              <w:t>175,314</w:t>
            </w:r>
          </w:p>
        </w:tc>
        <w:tc>
          <w:tcPr>
            <w:tcW w:w="170" w:type="dxa"/>
            <w:tcBorders/>
            <w:vAlign w:val="center"/>
          </w:tcPr>
          <w:p>
            <w:pPr>
              <w:pStyle w:val="TableContents"/>
              <w:bidi w:val="0"/>
              <w:spacing w:before="0" w:after="0"/>
              <w:jc w:val="left"/>
              <w:rPr>
                <w:spacing w:val="0"/>
              </w:rPr>
            </w:pPr>
            <w:r>
              <w:rPr>
                <w:spacing w:val="0"/>
              </w:rPr>
              <w:t> </w:t>
            </w:r>
          </w:p>
        </w:tc>
      </w:tr>
      <w:tr>
        <w:trPr/>
        <w:tc>
          <w:tcPr>
            <w:tcW w:w="12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4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3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5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2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9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On June 8, 2026, the Company subdivided and redesignated its issued share capital as follows: </w:t>
      </w:r>
    </w:p>
    <w:p>
      <w:pPr>
        <w:pStyle w:val="TextBody"/>
        <w:bidi w:val="0"/>
        <w:spacing w:before="0" w:after="0"/>
        <w:ind w:left="0" w:right="0" w:hanging="0"/>
        <w:jc w:val="left"/>
        <w:rPr>
          <w:spacing w:val="0"/>
        </w:rPr>
      </w:pPr>
      <w:r>
        <w:rPr>
          <w:spacing w:val="0"/>
        </w:rPr>
        <w:t> </w:t>
      </w:r>
    </w:p>
    <w:tbl>
      <w:tblPr>
        <w:tblW w:w="8995" w:type="dxa"/>
        <w:jc w:val="left"/>
        <w:tblInd w:w="0" w:type="dxa"/>
        <w:tblLayout w:type="fixed"/>
        <w:tblCellMar>
          <w:top w:w="0" w:type="dxa"/>
          <w:left w:w="0" w:type="dxa"/>
          <w:bottom w:w="0" w:type="dxa"/>
          <w:right w:w="0" w:type="dxa"/>
        </w:tblCellMar>
      </w:tblPr>
      <w:tblGrid>
        <w:gridCol w:w="75"/>
        <w:gridCol w:w="110"/>
        <w:gridCol w:w="60"/>
        <w:gridCol w:w="87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the 15,040,465,803 deferred shares of £0.0004 each in the issued share capital of the Company was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sub-divided</w:t>
            </w:r>
          </w:p>
          <w:p>
            <w:pPr>
              <w:pStyle w:val="TableContents"/>
              <w:bidi w:val="0"/>
              <w:spacing w:before="0" w:after="0"/>
              <w:jc w:val="left"/>
              <w:rPr>
                <w:rFonts w:ascii="Times New Roman" w:hAnsi="Times New Roman"/>
                <w:sz w:val="20"/>
              </w:rPr>
            </w:pPr>
            <w:r>
              <w:rPr>
                <w:rFonts w:ascii="Times New Roman" w:hAnsi="Times New Roman"/>
                <w:sz w:val="20"/>
              </w:rPr>
              <w:t xml:space="preserve">into 100 deferred shares of £0.000004 each; and </w:t>
            </w:r>
          </w:p>
        </w:tc>
      </w:tr>
    </w:tbl>
    <w:p>
      <w:pPr>
        <w:pStyle w:val="TextBody"/>
        <w:bidi w:val="0"/>
        <w:spacing w:before="0" w:after="0"/>
        <w:ind w:left="0" w:right="0" w:hanging="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the 20,809,854,947 ordinary shares of £0.0004 each in the issued share capital of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the </w:t>
            </w:r>
          </w:p>
          <w:p>
            <w:pPr>
              <w:pStyle w:val="TableContents"/>
              <w:bidi w:val="0"/>
              <w:spacing w:before="0" w:after="0"/>
              <w:jc w:val="left"/>
              <w:rPr>
                <w:rFonts w:ascii="Times New Roman" w:hAnsi="Times New Roman"/>
                <w:sz w:val="20"/>
              </w:rPr>
            </w:pPr>
            <w:r>
              <w:rPr>
                <w:rFonts w:ascii="Times New Roman" w:hAnsi="Times New Roman"/>
                <w:sz w:val="20"/>
              </w:rPr>
              <w:t xml:space="preserve">Company was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sub-divided</w:t>
            </w:r>
          </w:p>
          <w:p>
            <w:pPr>
              <w:pStyle w:val="TableContents"/>
              <w:bidi w:val="0"/>
              <w:spacing w:before="0" w:after="0"/>
              <w:jc w:val="left"/>
              <w:rPr>
                <w:rFonts w:ascii="Times New Roman" w:hAnsi="Times New Roman"/>
                <w:sz w:val="20"/>
              </w:rPr>
            </w:pPr>
            <w:r>
              <w:rPr>
                <w:rFonts w:ascii="Times New Roman" w:hAnsi="Times New Roman"/>
                <w:sz w:val="20"/>
              </w:rPr>
              <w:t xml:space="preserve">into and redesignated as one ordinary share of £0.000004, having the same rights and being subject to the same restrictions as the existing ordinary shares in the capital of the Company, and 99 deferred shares of £0.000004 each. </w:t>
            </w:r>
          </w:p>
        </w:tc>
      </w:tr>
    </w:tbl>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The Company’s issued share capital after the subdivision and reclassification was comprised of 20,809,854,947 ordinary shares and 3,564,222,220,053 deferred shares of £0.000004 each. The deferred shares continue to have no economic value, dividend or voting rights.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As at June 30, 2026, the Company had 4,307,855 ADSs listed on The Nasdaq Capital Market. </w:t>
      </w:r>
    </w:p>
    <w:p>
      <w:pPr>
        <w:pStyle w:val="TextBody"/>
        <w:bidi w:val="0"/>
        <w:spacing w:before="360" w:after="0"/>
        <w:ind w:left="0" w:right="0" w:hanging="0"/>
        <w:jc w:val="left"/>
        <w:rPr>
          <w:rFonts w:ascii="Times New Roman" w:hAnsi="Times New Roman"/>
          <w:b/>
          <w:spacing w:val="0"/>
          <w:sz w:val="20"/>
        </w:rPr>
      </w:pPr>
      <w:r>
        <w:rPr>
          <w:rFonts w:ascii="Times New Roman" w:hAnsi="Times New Roman"/>
          <w:b/>
          <w:spacing w:val="0"/>
          <w:sz w:val="20"/>
        </w:rPr>
        <w:t xml:space="preserve">10. Events after the reporting period </w:t>
      </w:r>
    </w:p>
    <w:p>
      <w:pPr>
        <w:pStyle w:val="TextBody"/>
        <w:bidi w:val="0"/>
        <w:spacing w:before="120" w:after="0"/>
        <w:jc w:val="left"/>
        <w:rPr>
          <w:rFonts w:ascii="Times New Roman" w:hAnsi="Times New Roman"/>
          <w:sz w:val="20"/>
        </w:rPr>
      </w:pPr>
      <w:r>
        <w:rPr>
          <w:rFonts w:ascii="Times New Roman" w:hAnsi="Times New Roman"/>
          <w:sz w:val="20"/>
        </w:rPr>
        <w:t xml:space="preserve">Subsequent to June 30, 2026, the Company sold and issued 275,712 ADSs, representing 1,378,560,000 ordinary shares, under the ATM program, raising gross proceeds of £0.3 million. </w:t>
      </w:r>
    </w:p>
    <w:p>
      <w:pPr>
        <w:pStyle w:val="TextBody"/>
        <w:bidi w:val="0"/>
        <w:spacing w:before="120" w:after="283"/>
        <w:jc w:val="left"/>
        <w:rPr>
          <w:rFonts w:ascii="Times New Roman" w:hAnsi="Times New Roman"/>
          <w:sz w:val="20"/>
        </w:rPr>
      </w:pPr>
      <w:r>
        <w:rPr>
          <w:rFonts w:ascii="Times New Roman" w:hAnsi="Times New Roman"/>
          <w:sz w:val="20"/>
        </w:rPr>
        <w:t xml:space="preserve">As at August 13, 2026, the Company had 4,583,567 ADSs listed on The Nasdaq Capital Market. </w:t>
      </w:r>
    </w:p>
    <w:p>
      <w:pPr>
        <w:pStyle w:val="TextBody"/>
        <w:bidi w:val="0"/>
        <w:spacing w:before="0" w:after="0"/>
        <w:jc w:val="right"/>
        <w:rPr>
          <w:rFonts w:ascii="Times New Roman" w:hAnsi="Times New Roman"/>
          <w:b/>
          <w:sz w:val="20"/>
        </w:rPr>
      </w:pPr>
      <w:bookmarkStart w:id="4" w:name="d140331dex992.htm"/>
      <w:bookmarkStart w:id="5" w:name="ksd140331dex992"/>
      <w:bookmarkEnd w:id="4"/>
      <w:bookmarkEnd w:id="5"/>
      <w:r>
        <w:rPr>
          <w:rFonts w:ascii="Times New Roman" w:hAnsi="Times New Roman"/>
          <w:b/>
          <w:sz w:val="20"/>
        </w:rPr>
        <w:t xml:space="preserve">Exhibit 99.2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MANAGEMENT’S DISCUSSION AND ANALYSIS OF FINANCIAL CONDITION AND RESULTS OF OPERATIONS </w:t>
      </w:r>
    </w:p>
    <w:p>
      <w:pPr>
        <w:pStyle w:val="TextBody"/>
        <w:bidi w:val="0"/>
        <w:spacing w:before="240" w:after="0"/>
        <w:jc w:val="left"/>
        <w:rPr>
          <w:rFonts w:ascii="Times New Roman" w:hAnsi="Times New Roman"/>
          <w:i/>
          <w:sz w:val="20"/>
        </w:rPr>
      </w:pPr>
      <w:r>
        <w:rPr>
          <w:rFonts w:ascii="Times New Roman" w:hAnsi="Times New Roman"/>
          <w:i/>
          <w:sz w:val="20"/>
        </w:rPr>
        <w:t xml:space="preserve">You should read the following discussion and analysis of financial condition and results of operations together with the unaudited condensed consolidated financial statements and the related notes to those statements included as Exhibit 99.1 to this Report on Form 6-K submitted to the Securities and Exchange Commission, or the SEC, on August 13, 2026. We also recommend that you read our discussion and analysis of financial condition and results of operations together with our audited financial statements and the notes thereto, and the section entitled “Risk Factors”, each of which appear in our Annual Report on Form 20-F for the year ended December 31, 2025 filed with the SEC on March 19, 2026 (the “Annual Report”), as well as the “Supplemental Risk Factors” filed with our Form 6-Ks from time to time with the SEC. </w:t>
      </w:r>
    </w:p>
    <w:p>
      <w:pPr>
        <w:pStyle w:val="TextBody"/>
        <w:bidi w:val="0"/>
        <w:spacing w:before="240" w:after="0"/>
        <w:jc w:val="left"/>
        <w:rPr>
          <w:rFonts w:ascii="Times New Roman" w:hAnsi="Times New Roman"/>
          <w:i/>
          <w:sz w:val="20"/>
        </w:rPr>
      </w:pPr>
      <w:r>
        <w:rPr>
          <w:rFonts w:ascii="Times New Roman" w:hAnsi="Times New Roman"/>
          <w:i/>
          <w:sz w:val="20"/>
        </w:rPr>
        <w:t xml:space="preserve">We present our unaudited condensed consolidated financial statements in pounds sterling and in accordance with International Accounting Standard 34, “Interim Financial Reporting,” or IAS 34, which may differ in material respects from generally accepted accounting principles in other jurisdictions, including generally accepted accounting principles in the United States, or U.S. GAAP. </w:t>
      </w:r>
    </w:p>
    <w:p>
      <w:pPr>
        <w:pStyle w:val="TextBody"/>
        <w:bidi w:val="0"/>
        <w:spacing w:before="240" w:after="0"/>
        <w:jc w:val="left"/>
        <w:rPr>
          <w:rFonts w:ascii="Times New Roman" w:hAnsi="Times New Roman"/>
          <w:i/>
          <w:sz w:val="20"/>
        </w:rPr>
      </w:pPr>
      <w:r>
        <w:rPr>
          <w:rFonts w:ascii="Times New Roman" w:hAnsi="Times New Roman"/>
          <w:i/>
          <w:sz w:val="20"/>
        </w:rPr>
        <w:t xml:space="preserve">Unless otherwise indicated or the context otherwise requires, all references to “NuCana,” the “Company,” “we,” “our,” “us” or similar terms refer to NuCana plc and its consolidated subsidiaries. </w:t>
      </w:r>
    </w:p>
    <w:p>
      <w:pPr>
        <w:pStyle w:val="TextBody"/>
        <w:bidi w:val="0"/>
        <w:spacing w:before="240" w:after="0"/>
        <w:jc w:val="left"/>
        <w:rPr>
          <w:rFonts w:ascii="Times New Roman" w:hAnsi="Times New Roman"/>
          <w:i/>
          <w:sz w:val="20"/>
        </w:rPr>
      </w:pPr>
      <w:r>
        <w:rPr>
          <w:rFonts w:ascii="Times New Roman" w:hAnsi="Times New Roman"/>
          <w:i/>
          <w:sz w:val="20"/>
        </w:rPr>
        <w:t xml:space="preserve">The statements in this discussion regarding industry outlook, our expectations regarding our future performance, liquidity and capital resources and other non-historical statements are forward-looking statements. Forward-looking statements involve known and unknown risks, uncertainties and other factors that may cause the Company’s actual results, performance or achievements to be materially different from any future results, performance or achievements expressed or implied by the forward-looking statements. These risks and uncertainties include, but are not limited to, the risks and uncertainties set forth in the “Risk Factors” section of our Annual Report and any subsequent reports that we file with the SEC. </w:t>
      </w:r>
    </w:p>
    <w:p>
      <w:pPr>
        <w:pStyle w:val="TextBody"/>
        <w:bidi w:val="0"/>
        <w:spacing w:before="360" w:after="0"/>
        <w:jc w:val="left"/>
        <w:rPr>
          <w:rFonts w:ascii="Times New Roman" w:hAnsi="Times New Roman"/>
          <w:b/>
          <w:sz w:val="20"/>
        </w:rPr>
      </w:pPr>
      <w:r>
        <w:rPr>
          <w:rFonts w:ascii="Times New Roman" w:hAnsi="Times New Roman"/>
          <w:b/>
          <w:sz w:val="20"/>
        </w:rPr>
        <w:t xml:space="preserve">Company Overview </w:t>
      </w:r>
    </w:p>
    <w:p>
      <w:pPr>
        <w:pStyle w:val="TextBody"/>
        <w:bidi w:val="0"/>
        <w:spacing w:before="120" w:after="0"/>
        <w:jc w:val="left"/>
        <w:rPr>
          <w:rFonts w:ascii="Times New Roman" w:hAnsi="Times New Roman"/>
          <w:sz w:val="20"/>
        </w:rPr>
      </w:pPr>
      <w:r>
        <w:rPr>
          <w:rFonts w:ascii="Times New Roman" w:hAnsi="Times New Roman"/>
          <w:sz w:val="20"/>
        </w:rPr>
        <w:t xml:space="preserve">We are a clinical-stage biopharmaceutical company focused on significantly improving treatment outcomes for patients with cancer by applying our ProTide technology to transform some of the most widely prescribed chemotherapy agents, nucleoside analogs, into more effective and safer medicines. While these conventional agents remain part of the standard of care for the treatment of many solid and hematological tumors, they have significant shortcomings that limit their efficacy and they are often poorly tolerated. Utilizing our proprietary technology, we are developing new medicines, ProTides, designed to overcome the key limitations of nucleoside analogs and generate much higher concentrations of anti-cancer metabolites in cancer cells. Our pipeline includes NUC-7738 and NUC-3373. NUC-7738 is a novel anti-cancer agent that disrupts RNA polyadenylation, profoundly impacts gene expression in cancer cells and targets multiple aspects of the tumor microenvironment. NUC-7738 is in the Phase 2 part of a Phase 1/2 trial which is evaluating NUC-7738 as a monotherapy in patients with advanced solid tumors and in combination with pembrolizumab in patients with melanoma. NUC-3373 is a targeted thymidylate synthase (“TS”) inhibitor designed to overcome key pharmacological limitations associated with other TS inhibitors. NUC-3373 has recently been evaluated in a Phase 1b/2 modular trial (NuTide:303) of NUC-3373 in combination with the PD-1 inhibitor pembrolizumab for patients with advanced solid tumors and in combination with docetaxel for patients with lung cancer, and we are currently evaluating further characterization of mode of action and target indications for further clinical studies of NUC-3373. </w:t>
      </w:r>
    </w:p>
    <w:p>
      <w:pPr>
        <w:pStyle w:val="TextBody"/>
        <w:bidi w:val="0"/>
        <w:spacing w:before="360" w:after="0"/>
        <w:jc w:val="left"/>
        <w:rPr>
          <w:rFonts w:ascii="Times New Roman" w:hAnsi="Times New Roman"/>
          <w:b/>
          <w:sz w:val="20"/>
        </w:rPr>
      </w:pPr>
      <w:r>
        <w:rPr>
          <w:rFonts w:ascii="Times New Roman" w:hAnsi="Times New Roman"/>
          <w:b/>
          <w:sz w:val="20"/>
        </w:rPr>
        <w:t xml:space="preserve">Financial Operations Overview </w:t>
      </w:r>
    </w:p>
    <w:p>
      <w:pPr>
        <w:pStyle w:val="TextBody"/>
        <w:bidi w:val="0"/>
        <w:spacing w:before="120" w:after="0"/>
        <w:jc w:val="left"/>
        <w:rPr>
          <w:rFonts w:ascii="Times New Roman" w:hAnsi="Times New Roman"/>
          <w:b/>
          <w:i/>
          <w:sz w:val="20"/>
        </w:rPr>
      </w:pPr>
      <w:r>
        <w:rPr>
          <w:rFonts w:ascii="Times New Roman" w:hAnsi="Times New Roman"/>
          <w:b/>
          <w:i/>
          <w:sz w:val="20"/>
        </w:rPr>
        <w:t xml:space="preserve">Revenues </w:t>
      </w:r>
    </w:p>
    <w:p>
      <w:pPr>
        <w:pStyle w:val="TextBody"/>
        <w:bidi w:val="0"/>
        <w:spacing w:before="120" w:after="0"/>
        <w:jc w:val="left"/>
        <w:rPr>
          <w:rFonts w:ascii="Times New Roman" w:hAnsi="Times New Roman"/>
          <w:sz w:val="20"/>
        </w:rPr>
      </w:pPr>
      <w:r>
        <w:rPr>
          <w:rFonts w:ascii="Times New Roman" w:hAnsi="Times New Roman"/>
          <w:sz w:val="20"/>
        </w:rPr>
        <w:t xml:space="preserve">We do not have any approved products. Accordingly, we have not generated any revenue, and we do not expect to generate any revenue from the sale of any products unless and until we obtain regulatory approvals for, and commercialize any of, our product candidates. In the future, we will seek to generate revenue primarily from product sales and, potentially, regional or global collaborations with strategic partners.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Operating Expenses </w:t>
      </w:r>
    </w:p>
    <w:p>
      <w:pPr>
        <w:pStyle w:val="TextBody"/>
        <w:bidi w:val="0"/>
        <w:spacing w:before="120" w:after="0"/>
        <w:jc w:val="left"/>
        <w:rPr>
          <w:rFonts w:ascii="Times New Roman" w:hAnsi="Times New Roman"/>
          <w:sz w:val="20"/>
        </w:rPr>
      </w:pPr>
      <w:r>
        <w:rPr>
          <w:rFonts w:ascii="Times New Roman" w:hAnsi="Times New Roman"/>
          <w:sz w:val="20"/>
        </w:rPr>
        <w:t xml:space="preserve">We classify our operating expenses into two categories: research and development expenses and administrative expenses. Personnel costs, including salaries, benefits, bonuses and share-based payment expense, comprise a component of each of these expense categories. We allocate expenses associated with personnel costs based on the function performed by the respective employees.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The largest component of our total operating expenses since our inception has been costs related to our research and development activities, including the preclinical and clinical development of our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Research and development costs are expensed as incurred. Our research and development expense primarily consists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incurred under agreements with contract research organizations, or CROs, and investigative sites that conduct preclinical studies and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related to manufacturing active pharmaceutical ingredients and drug products for preclinical studies and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salaries and personnel-related costs, including bonuses, benefits and any share-based payment expense, for our personnel performing research and development activities or managing those activities that have been outsourced;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fees paid to consultants and other third parties who support our product candidate development;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of maintaining and defending patents;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costs incurred in seeking regulatory approval for our product candidates;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payments under our license agreements.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successful development of our ProTides is highly uncertain. Product candidates in later stages of clinical development generally have higher development costs than those in earlier stages of clinical development, primarily due to the increased size and duration of later stage clinical trials. However, we do not believe that it is possible at this time to accurately project total program specific expenses through commercialization. We are also unable to predict when, if ever, material net cash inflows will commence from our product candidates to offset these expenses. Our expenditures on current and future preclinical and clinical development programs are subject to numerous uncertainties in timing and cost to completion. </w:t>
      </w:r>
    </w:p>
    <w:p>
      <w:pPr>
        <w:pStyle w:val="TextBody"/>
        <w:bidi w:val="0"/>
        <w:spacing w:before="240" w:after="0"/>
        <w:jc w:val="left"/>
        <w:rPr>
          <w:rFonts w:ascii="Times New Roman" w:hAnsi="Times New Roman"/>
          <w:sz w:val="20"/>
        </w:rPr>
      </w:pPr>
      <w:r>
        <w:rPr>
          <w:rFonts w:ascii="Times New Roman" w:hAnsi="Times New Roman"/>
          <w:sz w:val="20"/>
        </w:rPr>
        <w:t xml:space="preserve">The duration, costs and timing of clinical trials and development of our product candidates will depend on a variety of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rate of progress, results and expenses of our ongoing and future clinical trials, preclinical studies and research and development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need for additional clinical trials or preclinical studies requested by regulatory agencies;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uncertainties in clinical trial enrollment rates or drop-out or discontinuation rates of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competition with other drug development companies in, and the related expense of, identifying and enrolling patients in our clinical trials and contracting with third-party manufacturers for the production of the drug product needed for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achievement of milestones requiring payments under in-licensing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significant changes in government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timing of any regulatory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expense of filing, prosecuting, defending and enforcing patent claims and other intellectual property rights;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market, commercialize and achieve market acceptance for any of our product candidates, if approved.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track research and development expenses on a program-by-program basis for both clinical-stage and preclinical product candidates. Where appropriate, manufacturing and non-clinical research and development expenses are assigned or allocated to individual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Administrative expenses consist of personnel costs, depreciation, amortization and other expenses for outside professional services, including legal, audit and accounting services. Personnel costs consist of salaries, bonuses, benefits and share-based payment expense. Other administrative expenses include office related costs, professional fees and costs of our information systems. We anticipate that our administrative expenses will continue to increase in the future as we increase our headcount to support our continued research and development and potential commercialization of our product candidates. We also incur expenses as a public company, including expenses related to compliance with the rules and regulations of the SEC and Nasdaq, additional insurance expenses, and expenses related to investor relations and other administrative and professional services.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Net Foreign Exchange (Losses) Gains </w:t>
      </w:r>
    </w:p>
    <w:p>
      <w:pPr>
        <w:pStyle w:val="TextBody"/>
        <w:bidi w:val="0"/>
        <w:spacing w:before="120" w:after="0"/>
        <w:jc w:val="left"/>
        <w:rPr>
          <w:rFonts w:ascii="Times New Roman" w:hAnsi="Times New Roman"/>
          <w:sz w:val="20"/>
        </w:rPr>
      </w:pPr>
      <w:r>
        <w:rPr>
          <w:rFonts w:ascii="Times New Roman" w:hAnsi="Times New Roman"/>
          <w:sz w:val="20"/>
        </w:rPr>
        <w:t xml:space="preserve">Net foreign exchange (losses) gains primarily relates to cash held in U.S. dollars. </w:t>
      </w:r>
    </w:p>
    <w:p>
      <w:pPr>
        <w:pStyle w:val="TextBody"/>
        <w:bidi w:val="0"/>
        <w:spacing w:before="360" w:after="0"/>
        <w:jc w:val="left"/>
        <w:rPr>
          <w:rFonts w:ascii="Times New Roman" w:hAnsi="Times New Roman"/>
          <w:b/>
          <w:i/>
          <w:sz w:val="20"/>
        </w:rPr>
      </w:pPr>
      <w:r>
        <w:rPr>
          <w:rFonts w:ascii="Times New Roman" w:hAnsi="Times New Roman"/>
          <w:b/>
          <w:i/>
          <w:sz w:val="20"/>
        </w:rPr>
        <w:t xml:space="preserve">Finance Income </w:t>
      </w:r>
    </w:p>
    <w:p>
      <w:pPr>
        <w:pStyle w:val="TextBody"/>
        <w:bidi w:val="0"/>
        <w:spacing w:before="120" w:after="0"/>
        <w:jc w:val="left"/>
        <w:rPr>
          <w:rFonts w:ascii="Times New Roman" w:hAnsi="Times New Roman"/>
          <w:sz w:val="20"/>
        </w:rPr>
      </w:pPr>
      <w:r>
        <w:rPr>
          <w:rFonts w:ascii="Times New Roman" w:hAnsi="Times New Roman"/>
          <w:sz w:val="20"/>
        </w:rPr>
        <w:t xml:space="preserve">Finance income relates to interest earned on our cash and cash equivalents.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Finance Expense </w:t>
      </w:r>
    </w:p>
    <w:p>
      <w:pPr>
        <w:pStyle w:val="TextBody"/>
        <w:bidi w:val="0"/>
        <w:spacing w:before="120" w:after="0"/>
        <w:jc w:val="left"/>
        <w:rPr>
          <w:rFonts w:ascii="Times New Roman" w:hAnsi="Times New Roman"/>
          <w:sz w:val="20"/>
        </w:rPr>
      </w:pPr>
      <w:r>
        <w:rPr>
          <w:rFonts w:ascii="Times New Roman" w:hAnsi="Times New Roman"/>
          <w:sz w:val="20"/>
        </w:rPr>
        <w:t xml:space="preserve">Finance expense relates to revaluation losses from derivative financial instruments.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 Credit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corporate taxation in the United Kingdom and our wholly owned U.S. subsidiary, NuCana, Inc., is subject to corporate taxation in the United States. Due to the nature of our business, we have generated losses in the United Kingdom since our inception. Our income tax credit recognized represents the sum of the research and development tax credits recoverable in the United Kingdom and in the United States, and income tax payable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As a company that carries out extensive research and development activities, we benefit from the U.K. and U.S. research and development tax credit regimes. In the United Kingdom, we are able to surrender some of our losses for a cash rebate of up to 26.97% of eligible expenditures on qualifying research and development projects incurred. In the United States, we are able to offset the research and development credits against corporation tax payable. Our qualifying expenditures in the United Kingdom largely comprise clinical trial and manufacturing costs, employment costs for relevant staff and consumables incurred as part of research and development projects. In the United Kingdom, where we receive the larger proportion of the research and development credits, certain subcontracted qualifying research and development expenditures are eligible for a cash rebate of up to 17.53%. A large proportion of costs relating to our research and development, clinical trials and manufacturing activities are currently eligible for inclusion within these tax credit cash rebate claims. Research and development expenditure on overseas subcontractors is not eligible unless certain criteria are met. Overseas subcontractor expenditure is only eligible when there are conditions present overseas which are not present in the United Kingdom and it would be ‘wholly unreasonable’ to replicate those conditions within the United Kingdom. </w:t>
      </w:r>
    </w:p>
    <w:p>
      <w:pPr>
        <w:pStyle w:val="TextBody"/>
        <w:bidi w:val="0"/>
        <w:spacing w:before="240" w:after="0"/>
        <w:jc w:val="left"/>
        <w:rPr>
          <w:rFonts w:ascii="Times New Roman" w:hAnsi="Times New Roman"/>
          <w:sz w:val="20"/>
        </w:rPr>
      </w:pPr>
      <w:r>
        <w:rPr>
          <w:rFonts w:ascii="Times New Roman" w:hAnsi="Times New Roman"/>
          <w:sz w:val="20"/>
        </w:rPr>
        <w:t xml:space="preserve">We may not be able to continue to claim research and development tax credits in the United Kingdom in the future under the current research and development tax credit scheme because we may no longer qualify as a R&amp;D-intensive loss-making small or medium-sized company. However, in that scenario, we may be able to file under the merged scheme R&amp;D expenditure credit. </w:t>
      </w:r>
    </w:p>
    <w:p>
      <w:pPr>
        <w:pStyle w:val="TextBody"/>
        <w:bidi w:val="0"/>
        <w:spacing w:before="360" w:after="0"/>
        <w:jc w:val="left"/>
        <w:rPr>
          <w:rFonts w:ascii="Times New Roman" w:hAnsi="Times New Roman"/>
          <w:b/>
          <w:sz w:val="20"/>
        </w:rPr>
      </w:pPr>
      <w:r>
        <w:rPr>
          <w:rFonts w:ascii="Times New Roman" w:hAnsi="Times New Roman"/>
          <w:b/>
          <w:sz w:val="20"/>
        </w:rPr>
        <w:t xml:space="preserve">Results of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Comparison of the Three Months Ended June 30, 2026 and June 30, 2025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the results of our operations for the three months ended June 30, 2026 and 2025.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234"/>
        <w:gridCol w:w="139"/>
        <w:gridCol w:w="166"/>
        <w:gridCol w:w="1775"/>
        <w:gridCol w:w="182"/>
        <w:gridCol w:w="160"/>
        <w:gridCol w:w="140"/>
        <w:gridCol w:w="1801"/>
        <w:gridCol w:w="158"/>
      </w:tblGrid>
      <w:tr>
        <w:trPr/>
        <w:tc>
          <w:tcPr>
            <w:tcW w:w="3234"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3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4224" w:type="dxa"/>
            <w:gridSpan w:val="6"/>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For the Three Months Ended</w:t>
            </w:r>
          </w:p>
          <w:p>
            <w:pPr>
              <w:pStyle w:val="TableContents"/>
              <w:bidi w:val="0"/>
              <w:spacing w:before="0" w:after="20"/>
              <w:jc w:val="center"/>
              <w:rPr>
                <w:rFonts w:ascii="Times New Roman" w:hAnsi="Times New Roman"/>
                <w:b/>
                <w:sz w:val="16"/>
              </w:rPr>
            </w:pPr>
            <w:r>
              <w:rPr>
                <w:rFonts w:ascii="Times New Roman" w:hAnsi="Times New Roman"/>
                <w:b/>
                <w:sz w:val="16"/>
              </w:rPr>
              <w:t>June 30,</w:t>
            </w:r>
          </w:p>
        </w:tc>
        <w:tc>
          <w:tcPr>
            <w:tcW w:w="158" w:type="dxa"/>
            <w:tcBorders/>
            <w:vAlign w:val="bottom"/>
          </w:tcPr>
          <w:p>
            <w:pPr>
              <w:pStyle w:val="TableContents"/>
              <w:bidi w:val="0"/>
              <w:spacing w:before="0" w:after="283"/>
              <w:jc w:val="left"/>
              <w:rPr/>
            </w:pPr>
            <w:r>
              <w:rPr/>
              <w:t> </w:t>
            </w:r>
          </w:p>
        </w:tc>
      </w:tr>
      <w:tr>
        <w:trPr/>
        <w:tc>
          <w:tcPr>
            <w:tcW w:w="323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941"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182"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941"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158" w:type="dxa"/>
            <w:tcBorders/>
            <w:vAlign w:val="bottom"/>
          </w:tcPr>
          <w:p>
            <w:pPr>
              <w:pStyle w:val="TableContents"/>
              <w:bidi w:val="0"/>
              <w:spacing w:before="0" w:after="283"/>
              <w:jc w:val="left"/>
              <w:rPr/>
            </w:pPr>
            <w:r>
              <w:rPr/>
              <w:t> </w:t>
            </w:r>
          </w:p>
        </w:tc>
      </w:tr>
      <w:tr>
        <w:trPr/>
        <w:tc>
          <w:tcPr>
            <w:tcW w:w="323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4224" w:type="dxa"/>
            <w:gridSpan w:val="6"/>
            <w:tcBorders/>
            <w:vAlign w:val="bottom"/>
          </w:tcPr>
          <w:p>
            <w:pPr>
              <w:pStyle w:val="TableContents"/>
              <w:bidi w:val="0"/>
              <w:spacing w:before="0" w:after="283"/>
              <w:jc w:val="center"/>
              <w:rPr>
                <w:b/>
              </w:rPr>
            </w:pPr>
            <w:r>
              <w:rPr>
                <w:b/>
              </w:rPr>
              <w:t>(unaudited)</w:t>
            </w:r>
          </w:p>
        </w:tc>
        <w:tc>
          <w:tcPr>
            <w:tcW w:w="158" w:type="dxa"/>
            <w:tcBorders/>
            <w:vAlign w:val="bottom"/>
          </w:tcPr>
          <w:p>
            <w:pPr>
              <w:pStyle w:val="TableContents"/>
              <w:bidi w:val="0"/>
              <w:spacing w:before="0" w:after="283"/>
              <w:jc w:val="left"/>
              <w:rPr/>
            </w:pPr>
            <w:r>
              <w:rPr/>
              <w:t> </w:t>
            </w:r>
          </w:p>
        </w:tc>
      </w:tr>
      <w:tr>
        <w:trPr/>
        <w:tc>
          <w:tcPr>
            <w:tcW w:w="323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4224" w:type="dxa"/>
            <w:gridSpan w:val="6"/>
            <w:tcBorders/>
            <w:vAlign w:val="bottom"/>
          </w:tcPr>
          <w:p>
            <w:pPr>
              <w:pStyle w:val="TableContents"/>
              <w:bidi w:val="0"/>
              <w:spacing w:before="0" w:after="283"/>
              <w:jc w:val="center"/>
              <w:rPr>
                <w:b/>
              </w:rPr>
            </w:pPr>
            <w:r>
              <w:rPr>
                <w:b/>
              </w:rPr>
              <w:t>(in thousands)</w:t>
            </w:r>
          </w:p>
        </w:tc>
        <w:tc>
          <w:tcPr>
            <w:tcW w:w="158" w:type="dxa"/>
            <w:tcBorders/>
            <w:vAlign w:val="bottom"/>
          </w:tcPr>
          <w:p>
            <w:pPr>
              <w:pStyle w:val="TableContents"/>
              <w:bidi w:val="0"/>
              <w:spacing w:before="0" w:after="283"/>
              <w:jc w:val="left"/>
              <w:rPr/>
            </w:pPr>
            <w:r>
              <w:rPr/>
              <w:t> </w:t>
            </w:r>
          </w:p>
        </w:tc>
      </w:tr>
      <w:tr>
        <w:trPr/>
        <w:tc>
          <w:tcPr>
            <w:tcW w:w="323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941" w:type="dxa"/>
            <w:gridSpan w:val="2"/>
            <w:tcBorders/>
            <w:vAlign w:val="bottom"/>
          </w:tcPr>
          <w:p>
            <w:pPr>
              <w:pStyle w:val="TableContents"/>
              <w:bidi w:val="0"/>
              <w:spacing w:before="0" w:after="283"/>
              <w:jc w:val="center"/>
              <w:rPr>
                <w:b/>
              </w:rPr>
            </w:pPr>
            <w:r>
              <w:rPr>
                <w:b/>
              </w:rPr>
              <w:t>£</w:t>
            </w:r>
          </w:p>
        </w:tc>
        <w:tc>
          <w:tcPr>
            <w:tcW w:w="182"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941" w:type="dxa"/>
            <w:gridSpan w:val="2"/>
            <w:tcBorders/>
            <w:vAlign w:val="bottom"/>
          </w:tcPr>
          <w:p>
            <w:pPr>
              <w:pStyle w:val="TableContents"/>
              <w:bidi w:val="0"/>
              <w:spacing w:before="0" w:after="283"/>
              <w:jc w:val="center"/>
              <w:rPr>
                <w:b/>
              </w:rPr>
            </w:pPr>
            <w:r>
              <w:rPr>
                <w:b/>
              </w:rPr>
              <w:t>£</w:t>
            </w:r>
          </w:p>
        </w:tc>
        <w:tc>
          <w:tcPr>
            <w:tcW w:w="158" w:type="dxa"/>
            <w:tcBorders/>
            <w:vAlign w:val="bottom"/>
          </w:tcPr>
          <w:p>
            <w:pPr>
              <w:pStyle w:val="TableContents"/>
              <w:bidi w:val="0"/>
              <w:spacing w:before="0" w:after="283"/>
              <w:jc w:val="left"/>
              <w:rPr/>
            </w:pPr>
            <w:r>
              <w:rPr/>
              <w:t> </w:t>
            </w:r>
          </w:p>
        </w:tc>
      </w:tr>
      <w:tr>
        <w:trPr/>
        <w:tc>
          <w:tcPr>
            <w:tcW w:w="32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139"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775" w:type="dxa"/>
            <w:tcBorders/>
            <w:shd w:fill="CCEEFF" w:val="clear"/>
            <w:vAlign w:val="bottom"/>
          </w:tcPr>
          <w:p>
            <w:pPr>
              <w:pStyle w:val="TableContents"/>
              <w:bidi w:val="0"/>
              <w:spacing w:before="0" w:after="283"/>
              <w:jc w:val="right"/>
              <w:rPr/>
            </w:pPr>
            <w:r>
              <w:rPr/>
              <w:t>(2,250</w:t>
            </w:r>
          </w:p>
        </w:tc>
        <w:tc>
          <w:tcPr>
            <w:tcW w:w="182"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801" w:type="dxa"/>
            <w:tcBorders/>
            <w:shd w:fill="CCEEFF" w:val="clear"/>
            <w:vAlign w:val="bottom"/>
          </w:tcPr>
          <w:p>
            <w:pPr>
              <w:pStyle w:val="TableContents"/>
              <w:bidi w:val="0"/>
              <w:spacing w:before="0" w:after="283"/>
              <w:jc w:val="right"/>
              <w:rPr/>
            </w:pPr>
            <w:r>
              <w:rPr/>
              <w:t>(7,104</w:t>
            </w:r>
          </w:p>
        </w:tc>
        <w:tc>
          <w:tcPr>
            <w:tcW w:w="158" w:type="dxa"/>
            <w:tcBorders/>
            <w:shd w:fill="CCEEFF" w:val="clear"/>
            <w:vAlign w:val="bottom"/>
          </w:tcPr>
          <w:p>
            <w:pPr>
              <w:pStyle w:val="TableContents"/>
              <w:bidi w:val="0"/>
              <w:spacing w:before="0" w:after="283"/>
              <w:jc w:val="left"/>
              <w:rPr/>
            </w:pPr>
            <w:r>
              <w:rPr/>
              <w:t>) </w:t>
            </w:r>
          </w:p>
        </w:tc>
      </w:tr>
      <w:tr>
        <w:trPr/>
        <w:tc>
          <w:tcPr>
            <w:tcW w:w="3234" w:type="dxa"/>
            <w:tcBorders/>
          </w:tcPr>
          <w:p>
            <w:pPr>
              <w:pStyle w:val="TableContents"/>
              <w:bidi w:val="0"/>
              <w:spacing w:before="0" w:after="0"/>
              <w:jc w:val="left"/>
              <w:rPr>
                <w:rFonts w:ascii="Times New Roman" w:hAnsi="Times New Roman"/>
                <w:sz w:val="20"/>
              </w:rPr>
            </w:pPr>
            <w:r>
              <w:rPr>
                <w:rFonts w:ascii="Times New Roman" w:hAnsi="Times New Roman"/>
                <w:sz w:val="20"/>
              </w:rPr>
              <w:t>Administrative expenses</w:t>
            </w:r>
          </w:p>
        </w:tc>
        <w:tc>
          <w:tcPr>
            <w:tcW w:w="139"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775" w:type="dxa"/>
            <w:tcBorders/>
            <w:vAlign w:val="bottom"/>
          </w:tcPr>
          <w:p>
            <w:pPr>
              <w:pStyle w:val="TableContents"/>
              <w:bidi w:val="0"/>
              <w:spacing w:before="0" w:after="283"/>
              <w:jc w:val="right"/>
              <w:rPr/>
            </w:pPr>
            <w:r>
              <w:rPr/>
              <w:t>(1,187</w:t>
            </w:r>
          </w:p>
        </w:tc>
        <w:tc>
          <w:tcPr>
            <w:tcW w:w="182"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801" w:type="dxa"/>
            <w:tcBorders/>
            <w:vAlign w:val="bottom"/>
          </w:tcPr>
          <w:p>
            <w:pPr>
              <w:pStyle w:val="TableContents"/>
              <w:bidi w:val="0"/>
              <w:spacing w:before="0" w:after="283"/>
              <w:jc w:val="right"/>
              <w:rPr/>
            </w:pPr>
            <w:r>
              <w:rPr/>
              <w:t>(4,523</w:t>
            </w:r>
          </w:p>
        </w:tc>
        <w:tc>
          <w:tcPr>
            <w:tcW w:w="158" w:type="dxa"/>
            <w:tcBorders/>
            <w:vAlign w:val="bottom"/>
          </w:tcPr>
          <w:p>
            <w:pPr>
              <w:pStyle w:val="TableContents"/>
              <w:bidi w:val="0"/>
              <w:spacing w:before="0" w:after="283"/>
              <w:jc w:val="left"/>
              <w:rPr/>
            </w:pPr>
            <w:r>
              <w:rPr/>
              <w:t>) </w:t>
            </w:r>
          </w:p>
        </w:tc>
      </w:tr>
      <w:tr>
        <w:trPr/>
        <w:tc>
          <w:tcPr>
            <w:tcW w:w="32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foreign exchange losses</w:t>
            </w:r>
          </w:p>
        </w:tc>
        <w:tc>
          <w:tcPr>
            <w:tcW w:w="139"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775" w:type="dxa"/>
            <w:tcBorders/>
            <w:shd w:fill="CCEEFF" w:val="clear"/>
            <w:vAlign w:val="bottom"/>
          </w:tcPr>
          <w:p>
            <w:pPr>
              <w:pStyle w:val="TableContents"/>
              <w:bidi w:val="0"/>
              <w:spacing w:before="0" w:after="283"/>
              <w:jc w:val="right"/>
              <w:rPr/>
            </w:pPr>
            <w:r>
              <w:rPr/>
              <w:t>(110</w:t>
            </w:r>
          </w:p>
        </w:tc>
        <w:tc>
          <w:tcPr>
            <w:tcW w:w="182"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801" w:type="dxa"/>
            <w:tcBorders/>
            <w:shd w:fill="CCEEFF" w:val="clear"/>
            <w:vAlign w:val="bottom"/>
          </w:tcPr>
          <w:p>
            <w:pPr>
              <w:pStyle w:val="TableContents"/>
              <w:bidi w:val="0"/>
              <w:spacing w:before="0" w:after="283"/>
              <w:jc w:val="right"/>
              <w:rPr/>
            </w:pPr>
            <w:r>
              <w:rPr/>
              <w:t>(202</w:t>
            </w:r>
          </w:p>
        </w:tc>
        <w:tc>
          <w:tcPr>
            <w:tcW w:w="158" w:type="dxa"/>
            <w:tcBorders/>
            <w:shd w:fill="CCEEFF" w:val="clear"/>
            <w:vAlign w:val="bottom"/>
          </w:tcPr>
          <w:p>
            <w:pPr>
              <w:pStyle w:val="TableContents"/>
              <w:bidi w:val="0"/>
              <w:spacing w:before="0" w:after="283"/>
              <w:jc w:val="left"/>
              <w:rPr/>
            </w:pPr>
            <w:r>
              <w:rPr/>
              <w:t>) </w:t>
            </w:r>
          </w:p>
        </w:tc>
      </w:tr>
      <w:tr>
        <w:trPr/>
        <w:tc>
          <w:tcPr>
            <w:tcW w:w="3234"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775" w:type="dxa"/>
            <w:tcBorders/>
            <w:vAlign w:val="bottom"/>
          </w:tcPr>
          <w:p>
            <w:pPr>
              <w:pStyle w:val="TableContents"/>
              <w:pBdr>
                <w:top w:val="single" w:sz="2" w:space="1" w:color="000000"/>
              </w:pBdr>
              <w:bidi w:val="0"/>
              <w:spacing w:before="0" w:after="0"/>
              <w:jc w:val="left"/>
              <w:rPr/>
            </w:pPr>
            <w:r>
              <w:rPr/>
              <w:t> </w:t>
            </w:r>
          </w:p>
        </w:tc>
        <w:tc>
          <w:tcPr>
            <w:tcW w:w="182"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80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23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Operating loss</w:t>
            </w:r>
          </w:p>
        </w:tc>
        <w:tc>
          <w:tcPr>
            <w:tcW w:w="139"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775" w:type="dxa"/>
            <w:tcBorders/>
            <w:vAlign w:val="bottom"/>
          </w:tcPr>
          <w:p>
            <w:pPr>
              <w:pStyle w:val="TableContents"/>
              <w:bidi w:val="0"/>
              <w:spacing w:before="0" w:after="283"/>
              <w:jc w:val="right"/>
              <w:rPr>
                <w:b/>
              </w:rPr>
            </w:pPr>
            <w:r>
              <w:rPr>
                <w:b/>
              </w:rPr>
              <w:t>(3,547</w:t>
            </w:r>
          </w:p>
        </w:tc>
        <w:tc>
          <w:tcPr>
            <w:tcW w:w="182" w:type="dxa"/>
            <w:tcBorders/>
            <w:vAlign w:val="bottom"/>
          </w:tcPr>
          <w:p>
            <w:pPr>
              <w:pStyle w:val="TableContents"/>
              <w:bidi w:val="0"/>
              <w:spacing w:before="0" w:after="283"/>
              <w:jc w:val="left"/>
              <w:rPr>
                <w:b/>
              </w:rPr>
            </w:pPr>
            <w:r>
              <w:rPr>
                <w:b/>
              </w:rPr>
              <w:t>) </w:t>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801" w:type="dxa"/>
            <w:tcBorders/>
            <w:vAlign w:val="bottom"/>
          </w:tcPr>
          <w:p>
            <w:pPr>
              <w:pStyle w:val="TableContents"/>
              <w:bidi w:val="0"/>
              <w:spacing w:before="0" w:after="283"/>
              <w:jc w:val="right"/>
              <w:rPr>
                <w:b/>
              </w:rPr>
            </w:pPr>
            <w:r>
              <w:rPr>
                <w:b/>
              </w:rPr>
              <w:t>(11,829</w:t>
            </w:r>
          </w:p>
        </w:tc>
        <w:tc>
          <w:tcPr>
            <w:tcW w:w="158" w:type="dxa"/>
            <w:tcBorders/>
            <w:vAlign w:val="bottom"/>
          </w:tcPr>
          <w:p>
            <w:pPr>
              <w:pStyle w:val="TableContents"/>
              <w:bidi w:val="0"/>
              <w:spacing w:before="0" w:after="283"/>
              <w:jc w:val="left"/>
              <w:rPr>
                <w:b/>
              </w:rPr>
            </w:pPr>
            <w:r>
              <w:rPr>
                <w:b/>
              </w:rPr>
              <w:t>) </w:t>
            </w:r>
          </w:p>
        </w:tc>
      </w:tr>
      <w:tr>
        <w:trPr/>
        <w:tc>
          <w:tcPr>
            <w:tcW w:w="32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income</w:t>
            </w:r>
          </w:p>
        </w:tc>
        <w:tc>
          <w:tcPr>
            <w:tcW w:w="139"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775" w:type="dxa"/>
            <w:tcBorders/>
            <w:shd w:fill="CCEEFF" w:val="clear"/>
            <w:vAlign w:val="bottom"/>
          </w:tcPr>
          <w:p>
            <w:pPr>
              <w:pStyle w:val="TableContents"/>
              <w:bidi w:val="0"/>
              <w:spacing w:before="0" w:after="283"/>
              <w:jc w:val="right"/>
              <w:rPr/>
            </w:pPr>
            <w:r>
              <w:rPr/>
              <w:t>134</w:t>
            </w:r>
          </w:p>
        </w:tc>
        <w:tc>
          <w:tcPr>
            <w:tcW w:w="182"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801" w:type="dxa"/>
            <w:tcBorders/>
            <w:shd w:fill="CCEEFF" w:val="clear"/>
            <w:vAlign w:val="bottom"/>
          </w:tcPr>
          <w:p>
            <w:pPr>
              <w:pStyle w:val="TableContents"/>
              <w:bidi w:val="0"/>
              <w:spacing w:before="0" w:after="283"/>
              <w:jc w:val="right"/>
              <w:rPr/>
            </w:pPr>
            <w:r>
              <w:rPr/>
              <w:t>35</w:t>
            </w:r>
          </w:p>
        </w:tc>
        <w:tc>
          <w:tcPr>
            <w:tcW w:w="158" w:type="dxa"/>
            <w:tcBorders/>
            <w:shd w:fill="CCEEFF" w:val="clear"/>
            <w:vAlign w:val="bottom"/>
          </w:tcPr>
          <w:p>
            <w:pPr>
              <w:pStyle w:val="TableContents"/>
              <w:bidi w:val="0"/>
              <w:spacing w:before="0" w:after="283"/>
              <w:jc w:val="left"/>
              <w:rPr/>
            </w:pPr>
            <w:r>
              <w:rPr/>
              <w:t> </w:t>
            </w:r>
          </w:p>
        </w:tc>
      </w:tr>
      <w:tr>
        <w:trPr/>
        <w:tc>
          <w:tcPr>
            <w:tcW w:w="3234" w:type="dxa"/>
            <w:tcBorders/>
          </w:tcPr>
          <w:p>
            <w:pPr>
              <w:pStyle w:val="TableContents"/>
              <w:bidi w:val="0"/>
              <w:spacing w:before="0" w:after="0"/>
              <w:jc w:val="left"/>
              <w:rPr>
                <w:rFonts w:ascii="Times New Roman" w:hAnsi="Times New Roman"/>
                <w:sz w:val="20"/>
              </w:rPr>
            </w:pPr>
            <w:r>
              <w:rPr>
                <w:rFonts w:ascii="Times New Roman" w:hAnsi="Times New Roman"/>
                <w:sz w:val="20"/>
              </w:rPr>
              <w:t>Finance expense</w:t>
            </w:r>
          </w:p>
        </w:tc>
        <w:tc>
          <w:tcPr>
            <w:tcW w:w="139"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775" w:type="dxa"/>
            <w:tcBorders/>
            <w:vAlign w:val="bottom"/>
          </w:tcPr>
          <w:p>
            <w:pPr>
              <w:pStyle w:val="TableContents"/>
              <w:bidi w:val="0"/>
              <w:spacing w:before="0" w:after="283"/>
              <w:jc w:val="right"/>
              <w:rPr/>
            </w:pPr>
            <w:r>
              <w:rPr/>
              <w:t>— </w:t>
            </w:r>
          </w:p>
        </w:tc>
        <w:tc>
          <w:tcPr>
            <w:tcW w:w="182"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801" w:type="dxa"/>
            <w:tcBorders/>
            <w:vAlign w:val="bottom"/>
          </w:tcPr>
          <w:p>
            <w:pPr>
              <w:pStyle w:val="TableContents"/>
              <w:bidi w:val="0"/>
              <w:spacing w:before="0" w:after="283"/>
              <w:jc w:val="right"/>
              <w:rPr/>
            </w:pPr>
            <w:r>
              <w:rPr/>
              <w:t>(12,648</w:t>
            </w:r>
          </w:p>
        </w:tc>
        <w:tc>
          <w:tcPr>
            <w:tcW w:w="158" w:type="dxa"/>
            <w:tcBorders/>
            <w:vAlign w:val="bottom"/>
          </w:tcPr>
          <w:p>
            <w:pPr>
              <w:pStyle w:val="TableContents"/>
              <w:bidi w:val="0"/>
              <w:spacing w:before="0" w:after="283"/>
              <w:jc w:val="left"/>
              <w:rPr/>
            </w:pPr>
            <w:r>
              <w:rPr/>
              <w:t>) </w:t>
            </w:r>
          </w:p>
        </w:tc>
      </w:tr>
      <w:tr>
        <w:trPr/>
        <w:tc>
          <w:tcPr>
            <w:tcW w:w="3234"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775" w:type="dxa"/>
            <w:tcBorders/>
            <w:vAlign w:val="bottom"/>
          </w:tcPr>
          <w:p>
            <w:pPr>
              <w:pStyle w:val="TableContents"/>
              <w:pBdr>
                <w:top w:val="single" w:sz="2" w:space="1" w:color="000000"/>
              </w:pBdr>
              <w:bidi w:val="0"/>
              <w:spacing w:before="0" w:after="0"/>
              <w:jc w:val="left"/>
              <w:rPr/>
            </w:pPr>
            <w:r>
              <w:rPr/>
              <w:t> </w:t>
            </w:r>
          </w:p>
        </w:tc>
        <w:tc>
          <w:tcPr>
            <w:tcW w:w="182"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80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23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Loss before tax</w:t>
            </w:r>
          </w:p>
        </w:tc>
        <w:tc>
          <w:tcPr>
            <w:tcW w:w="139"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775" w:type="dxa"/>
            <w:tcBorders/>
            <w:shd w:fill="CCEEFF" w:val="clear"/>
            <w:vAlign w:val="bottom"/>
          </w:tcPr>
          <w:p>
            <w:pPr>
              <w:pStyle w:val="TableContents"/>
              <w:bidi w:val="0"/>
              <w:spacing w:before="0" w:after="283"/>
              <w:jc w:val="right"/>
              <w:rPr>
                <w:b/>
              </w:rPr>
            </w:pPr>
            <w:r>
              <w:rPr>
                <w:b/>
              </w:rPr>
              <w:t>(3,413</w:t>
            </w:r>
          </w:p>
        </w:tc>
        <w:tc>
          <w:tcPr>
            <w:tcW w:w="182" w:type="dxa"/>
            <w:tcBorders/>
            <w:shd w:fill="CCEEFF" w:val="clear"/>
            <w:vAlign w:val="bottom"/>
          </w:tcPr>
          <w:p>
            <w:pPr>
              <w:pStyle w:val="TableContents"/>
              <w:bidi w:val="0"/>
              <w:spacing w:before="0" w:after="283"/>
              <w:jc w:val="left"/>
              <w:rPr>
                <w:b/>
              </w:rPr>
            </w:pPr>
            <w:r>
              <w:rPr>
                <w:b/>
              </w:rPr>
              <w:t>) </w:t>
            </w:r>
          </w:p>
        </w:tc>
        <w:tc>
          <w:tcPr>
            <w:tcW w:w="1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801" w:type="dxa"/>
            <w:tcBorders/>
            <w:shd w:fill="CCEEFF" w:val="clear"/>
            <w:vAlign w:val="bottom"/>
          </w:tcPr>
          <w:p>
            <w:pPr>
              <w:pStyle w:val="TableContents"/>
              <w:bidi w:val="0"/>
              <w:spacing w:before="0" w:after="283"/>
              <w:jc w:val="right"/>
              <w:rPr>
                <w:b/>
              </w:rPr>
            </w:pPr>
            <w:r>
              <w:rPr>
                <w:b/>
              </w:rPr>
              <w:t>(24,442</w:t>
            </w:r>
          </w:p>
        </w:tc>
        <w:tc>
          <w:tcPr>
            <w:tcW w:w="158" w:type="dxa"/>
            <w:tcBorders/>
            <w:shd w:fill="CCEEFF" w:val="clear"/>
            <w:vAlign w:val="bottom"/>
          </w:tcPr>
          <w:p>
            <w:pPr>
              <w:pStyle w:val="TableContents"/>
              <w:bidi w:val="0"/>
              <w:spacing w:before="0" w:after="283"/>
              <w:jc w:val="left"/>
              <w:rPr>
                <w:b/>
              </w:rPr>
            </w:pPr>
            <w:r>
              <w:rPr>
                <w:b/>
              </w:rPr>
              <w:t>) </w:t>
            </w:r>
          </w:p>
        </w:tc>
      </w:tr>
      <w:tr>
        <w:trPr/>
        <w:tc>
          <w:tcPr>
            <w:tcW w:w="3234" w:type="dxa"/>
            <w:tcBorders/>
          </w:tcPr>
          <w:p>
            <w:pPr>
              <w:pStyle w:val="TableContents"/>
              <w:bidi w:val="0"/>
              <w:spacing w:before="0" w:after="0"/>
              <w:jc w:val="left"/>
              <w:rPr>
                <w:rFonts w:ascii="Times New Roman" w:hAnsi="Times New Roman"/>
                <w:sz w:val="20"/>
              </w:rPr>
            </w:pPr>
            <w:r>
              <w:rPr>
                <w:rFonts w:ascii="Times New Roman" w:hAnsi="Times New Roman"/>
                <w:sz w:val="20"/>
              </w:rPr>
              <w:t>Income tax credit</w:t>
            </w:r>
          </w:p>
        </w:tc>
        <w:tc>
          <w:tcPr>
            <w:tcW w:w="139"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775" w:type="dxa"/>
            <w:tcBorders/>
            <w:vAlign w:val="bottom"/>
          </w:tcPr>
          <w:p>
            <w:pPr>
              <w:pStyle w:val="TableContents"/>
              <w:bidi w:val="0"/>
              <w:spacing w:before="0" w:after="283"/>
              <w:jc w:val="right"/>
              <w:rPr/>
            </w:pPr>
            <w:r>
              <w:rPr/>
              <w:t>333</w:t>
            </w:r>
          </w:p>
        </w:tc>
        <w:tc>
          <w:tcPr>
            <w:tcW w:w="182"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801" w:type="dxa"/>
            <w:tcBorders/>
            <w:vAlign w:val="bottom"/>
          </w:tcPr>
          <w:p>
            <w:pPr>
              <w:pStyle w:val="TableContents"/>
              <w:bidi w:val="0"/>
              <w:spacing w:before="0" w:after="283"/>
              <w:jc w:val="right"/>
              <w:rPr/>
            </w:pPr>
            <w:r>
              <w:rPr/>
              <w:t>328</w:t>
            </w:r>
          </w:p>
        </w:tc>
        <w:tc>
          <w:tcPr>
            <w:tcW w:w="158" w:type="dxa"/>
            <w:tcBorders/>
            <w:vAlign w:val="bottom"/>
          </w:tcPr>
          <w:p>
            <w:pPr>
              <w:pStyle w:val="TableContents"/>
              <w:bidi w:val="0"/>
              <w:spacing w:before="0" w:after="283"/>
              <w:jc w:val="left"/>
              <w:rPr/>
            </w:pPr>
            <w:r>
              <w:rPr/>
              <w:t> </w:t>
            </w:r>
          </w:p>
        </w:tc>
      </w:tr>
      <w:tr>
        <w:trPr/>
        <w:tc>
          <w:tcPr>
            <w:tcW w:w="3234"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775" w:type="dxa"/>
            <w:tcBorders/>
            <w:vAlign w:val="bottom"/>
          </w:tcPr>
          <w:p>
            <w:pPr>
              <w:pStyle w:val="TableContents"/>
              <w:pBdr>
                <w:top w:val="single" w:sz="2" w:space="1" w:color="000000"/>
              </w:pBdr>
              <w:bidi w:val="0"/>
              <w:spacing w:before="0" w:after="0"/>
              <w:jc w:val="left"/>
              <w:rPr/>
            </w:pPr>
            <w:r>
              <w:rPr/>
              <w:t> </w:t>
            </w:r>
          </w:p>
        </w:tc>
        <w:tc>
          <w:tcPr>
            <w:tcW w:w="182"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80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23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Loss for the period</w:t>
            </w:r>
          </w:p>
        </w:tc>
        <w:tc>
          <w:tcPr>
            <w:tcW w:w="139"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775" w:type="dxa"/>
            <w:tcBorders/>
            <w:shd w:fill="CCEEFF" w:val="clear"/>
            <w:vAlign w:val="bottom"/>
          </w:tcPr>
          <w:p>
            <w:pPr>
              <w:pStyle w:val="TableContents"/>
              <w:bidi w:val="0"/>
              <w:spacing w:before="0" w:after="283"/>
              <w:jc w:val="right"/>
              <w:rPr>
                <w:b/>
              </w:rPr>
            </w:pPr>
            <w:r>
              <w:rPr>
                <w:b/>
              </w:rPr>
              <w:t>(3,080</w:t>
            </w:r>
          </w:p>
        </w:tc>
        <w:tc>
          <w:tcPr>
            <w:tcW w:w="182" w:type="dxa"/>
            <w:tcBorders/>
            <w:shd w:fill="CCEEFF" w:val="clear"/>
            <w:vAlign w:val="bottom"/>
          </w:tcPr>
          <w:p>
            <w:pPr>
              <w:pStyle w:val="TableContents"/>
              <w:bidi w:val="0"/>
              <w:spacing w:before="0" w:after="283"/>
              <w:jc w:val="left"/>
              <w:rPr>
                <w:b/>
              </w:rPr>
            </w:pPr>
            <w:r>
              <w:rPr>
                <w:b/>
              </w:rPr>
              <w:t>) </w:t>
            </w:r>
          </w:p>
        </w:tc>
        <w:tc>
          <w:tcPr>
            <w:tcW w:w="1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801" w:type="dxa"/>
            <w:tcBorders/>
            <w:shd w:fill="CCEEFF" w:val="clear"/>
            <w:vAlign w:val="bottom"/>
          </w:tcPr>
          <w:p>
            <w:pPr>
              <w:pStyle w:val="TableContents"/>
              <w:bidi w:val="0"/>
              <w:spacing w:before="0" w:after="283"/>
              <w:jc w:val="right"/>
              <w:rPr>
                <w:b/>
              </w:rPr>
            </w:pPr>
            <w:r>
              <w:rPr>
                <w:b/>
              </w:rPr>
              <w:t>(24,114</w:t>
            </w:r>
          </w:p>
        </w:tc>
        <w:tc>
          <w:tcPr>
            <w:tcW w:w="158" w:type="dxa"/>
            <w:tcBorders/>
            <w:shd w:fill="CCEEFF" w:val="clear"/>
            <w:vAlign w:val="bottom"/>
          </w:tcPr>
          <w:p>
            <w:pPr>
              <w:pStyle w:val="TableContents"/>
              <w:bidi w:val="0"/>
              <w:spacing w:before="0" w:after="283"/>
              <w:jc w:val="left"/>
              <w:rPr>
                <w:b/>
              </w:rPr>
            </w:pPr>
            <w:r>
              <w:rPr>
                <w:b/>
              </w:rPr>
              <w:t>) </w:t>
            </w:r>
          </w:p>
        </w:tc>
      </w:tr>
      <w:tr>
        <w:trPr/>
        <w:tc>
          <w:tcPr>
            <w:tcW w:w="3234"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expense:</w:t>
            </w:r>
          </w:p>
        </w:tc>
        <w:tc>
          <w:tcPr>
            <w:tcW w:w="139"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sz w:val="4"/>
                <w:szCs w:val="4"/>
              </w:rPr>
            </w:pPr>
            <w:r>
              <w:rPr>
                <w:sz w:val="4"/>
                <w:szCs w:val="4"/>
              </w:rPr>
            </w:r>
          </w:p>
        </w:tc>
        <w:tc>
          <w:tcPr>
            <w:tcW w:w="1775"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801"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32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Items that may be reclassified subsequently to profit or loss:</w:t>
            </w:r>
          </w:p>
        </w:tc>
        <w:tc>
          <w:tcPr>
            <w:tcW w:w="139"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1775" w:type="dxa"/>
            <w:tcBorders/>
            <w:shd w:fill="CCEEFF" w:val="clear"/>
            <w:vAlign w:val="bottom"/>
          </w:tcPr>
          <w:p>
            <w:pPr>
              <w:pStyle w:val="TableContents"/>
              <w:bidi w:val="0"/>
              <w:spacing w:before="0" w:after="283"/>
              <w:jc w:val="left"/>
              <w:rPr>
                <w:sz w:val="4"/>
                <w:szCs w:val="4"/>
              </w:rPr>
            </w:pPr>
            <w:r>
              <w:rPr>
                <w:sz w:val="4"/>
                <w:szCs w:val="4"/>
              </w:rPr>
            </w:r>
          </w:p>
        </w:tc>
        <w:tc>
          <w:tcPr>
            <w:tcW w:w="18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801"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3234" w:type="dxa"/>
            <w:tcBorders/>
          </w:tcPr>
          <w:p>
            <w:pPr>
              <w:pStyle w:val="TableContents"/>
              <w:bidi w:val="0"/>
              <w:spacing w:before="0" w:after="0"/>
              <w:jc w:val="left"/>
              <w:rPr>
                <w:rFonts w:ascii="Times New Roman" w:hAnsi="Times New Roman"/>
                <w:sz w:val="20"/>
              </w:rPr>
            </w:pPr>
            <w:r>
              <w:rPr>
                <w:rFonts w:ascii="Times New Roman" w:hAnsi="Times New Roman"/>
                <w:sz w:val="20"/>
              </w:rPr>
              <w:t>Exchange differences on translation of foreign operations</w:t>
            </w:r>
          </w:p>
        </w:tc>
        <w:tc>
          <w:tcPr>
            <w:tcW w:w="139"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775" w:type="dxa"/>
            <w:tcBorders/>
            <w:vAlign w:val="bottom"/>
          </w:tcPr>
          <w:p>
            <w:pPr>
              <w:pStyle w:val="TableContents"/>
              <w:bidi w:val="0"/>
              <w:spacing w:before="0" w:after="283"/>
              <w:jc w:val="right"/>
              <w:rPr/>
            </w:pPr>
            <w:r>
              <w:rPr/>
              <w:t>(5</w:t>
            </w:r>
          </w:p>
        </w:tc>
        <w:tc>
          <w:tcPr>
            <w:tcW w:w="182"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801" w:type="dxa"/>
            <w:tcBorders/>
            <w:vAlign w:val="bottom"/>
          </w:tcPr>
          <w:p>
            <w:pPr>
              <w:pStyle w:val="TableContents"/>
              <w:bidi w:val="0"/>
              <w:spacing w:before="0" w:after="283"/>
              <w:jc w:val="right"/>
              <w:rPr/>
            </w:pPr>
            <w:r>
              <w:rPr/>
              <w:t>(49</w:t>
            </w:r>
          </w:p>
        </w:tc>
        <w:tc>
          <w:tcPr>
            <w:tcW w:w="158" w:type="dxa"/>
            <w:tcBorders/>
            <w:vAlign w:val="bottom"/>
          </w:tcPr>
          <w:p>
            <w:pPr>
              <w:pStyle w:val="TableContents"/>
              <w:bidi w:val="0"/>
              <w:spacing w:before="0" w:after="283"/>
              <w:jc w:val="left"/>
              <w:rPr/>
            </w:pPr>
            <w:r>
              <w:rPr/>
              <w:t>) </w:t>
            </w:r>
          </w:p>
        </w:tc>
      </w:tr>
      <w:tr>
        <w:trPr/>
        <w:tc>
          <w:tcPr>
            <w:tcW w:w="3234"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775" w:type="dxa"/>
            <w:tcBorders/>
            <w:vAlign w:val="bottom"/>
          </w:tcPr>
          <w:p>
            <w:pPr>
              <w:pStyle w:val="TableContents"/>
              <w:pBdr>
                <w:top w:val="single" w:sz="2" w:space="1" w:color="000000"/>
              </w:pBdr>
              <w:bidi w:val="0"/>
              <w:spacing w:before="0" w:after="0"/>
              <w:jc w:val="left"/>
              <w:rPr/>
            </w:pPr>
            <w:r>
              <w:rPr/>
              <w:t> </w:t>
            </w:r>
          </w:p>
        </w:tc>
        <w:tc>
          <w:tcPr>
            <w:tcW w:w="182"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80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23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comprehensive loss for the period</w:t>
            </w:r>
          </w:p>
        </w:tc>
        <w:tc>
          <w:tcPr>
            <w:tcW w:w="139"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775" w:type="dxa"/>
            <w:tcBorders/>
            <w:shd w:fill="CCEEFF" w:val="clear"/>
            <w:vAlign w:val="bottom"/>
          </w:tcPr>
          <w:p>
            <w:pPr>
              <w:pStyle w:val="TableContents"/>
              <w:bidi w:val="0"/>
              <w:spacing w:before="0" w:after="283"/>
              <w:jc w:val="right"/>
              <w:rPr>
                <w:b/>
              </w:rPr>
            </w:pPr>
            <w:r>
              <w:rPr>
                <w:b/>
              </w:rPr>
              <w:t>(3,085</w:t>
            </w:r>
          </w:p>
        </w:tc>
        <w:tc>
          <w:tcPr>
            <w:tcW w:w="182" w:type="dxa"/>
            <w:tcBorders/>
            <w:shd w:fill="CCEEFF" w:val="clear"/>
            <w:vAlign w:val="bottom"/>
          </w:tcPr>
          <w:p>
            <w:pPr>
              <w:pStyle w:val="TableContents"/>
              <w:bidi w:val="0"/>
              <w:spacing w:before="0" w:after="283"/>
              <w:jc w:val="left"/>
              <w:rPr>
                <w:b/>
              </w:rPr>
            </w:pPr>
            <w:r>
              <w:rPr>
                <w:b/>
              </w:rPr>
              <w:t>) </w:t>
            </w:r>
          </w:p>
        </w:tc>
        <w:tc>
          <w:tcPr>
            <w:tcW w:w="1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801" w:type="dxa"/>
            <w:tcBorders/>
            <w:shd w:fill="CCEEFF" w:val="clear"/>
            <w:vAlign w:val="bottom"/>
          </w:tcPr>
          <w:p>
            <w:pPr>
              <w:pStyle w:val="TableContents"/>
              <w:bidi w:val="0"/>
              <w:spacing w:before="0" w:after="283"/>
              <w:jc w:val="right"/>
              <w:rPr>
                <w:b/>
              </w:rPr>
            </w:pPr>
            <w:r>
              <w:rPr>
                <w:b/>
              </w:rPr>
              <w:t>(24,163</w:t>
            </w:r>
          </w:p>
        </w:tc>
        <w:tc>
          <w:tcPr>
            <w:tcW w:w="158" w:type="dxa"/>
            <w:tcBorders/>
            <w:shd w:fill="CCEEFF" w:val="clear"/>
            <w:vAlign w:val="bottom"/>
          </w:tcPr>
          <w:p>
            <w:pPr>
              <w:pStyle w:val="TableContents"/>
              <w:bidi w:val="0"/>
              <w:spacing w:before="0" w:after="283"/>
              <w:jc w:val="left"/>
              <w:rPr>
                <w:b/>
              </w:rPr>
            </w:pPr>
            <w:r>
              <w:rPr>
                <w:b/>
              </w:rPr>
              <w:t>) </w:t>
            </w:r>
          </w:p>
        </w:tc>
      </w:tr>
      <w:tr>
        <w:trPr/>
        <w:tc>
          <w:tcPr>
            <w:tcW w:w="3234"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1775" w:type="dxa"/>
            <w:tcBorders/>
            <w:vAlign w:val="bottom"/>
          </w:tcPr>
          <w:p>
            <w:pPr>
              <w:pStyle w:val="TableContents"/>
              <w:pBdr>
                <w:top w:val="double" w:sz="6" w:space="1" w:color="000000"/>
              </w:pBdr>
              <w:bidi w:val="0"/>
              <w:spacing w:before="0" w:after="0"/>
              <w:jc w:val="left"/>
              <w:rPr/>
            </w:pPr>
            <w:r>
              <w:rPr/>
              <w:t> </w:t>
            </w:r>
          </w:p>
        </w:tc>
        <w:tc>
          <w:tcPr>
            <w:tcW w:w="182"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801"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expenses were £2.3 million for the three months ended June 30, 2026 as compared to £7.1 million for the three months ended June 30, 2025. </w:t>
      </w:r>
    </w:p>
    <w:p>
      <w:pPr>
        <w:pStyle w:val="TextBody"/>
        <w:bidi w:val="0"/>
        <w:spacing w:before="240" w:after="0"/>
        <w:jc w:val="left"/>
        <w:rPr>
          <w:rFonts w:ascii="Times New Roman" w:hAnsi="Times New Roman"/>
          <w:sz w:val="20"/>
        </w:rPr>
      </w:pPr>
      <w:r>
        <w:rPr>
          <w:rFonts w:ascii="Times New Roman" w:hAnsi="Times New Roman"/>
          <w:sz w:val="20"/>
        </w:rPr>
        <w:t xml:space="preserve">In the three months ended June 30,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Share-based payment expenses decreased by £5.1 million primarily due to fewer options granted in the second quarter of 2026 compared with the second quarter of 2025;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research and development costs increased by £0.3 million principally due to higher clinical trial costs partially offset by lower manufacturing costs.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gives a breakdown of the research and development costs incurred by product candidate for the three months ended June 30, 2026 and 2025: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359"/>
        <w:gridCol w:w="146"/>
        <w:gridCol w:w="185"/>
        <w:gridCol w:w="1763"/>
        <w:gridCol w:w="88"/>
        <w:gridCol w:w="203"/>
        <w:gridCol w:w="185"/>
        <w:gridCol w:w="1763"/>
        <w:gridCol w:w="63"/>
      </w:tblGrid>
      <w:tr>
        <w:trPr/>
        <w:tc>
          <w:tcPr>
            <w:tcW w:w="3359"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35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187" w:type="dxa"/>
            <w:gridSpan w:val="6"/>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For the Three Months Ended</w:t>
            </w:r>
          </w:p>
          <w:p>
            <w:pPr>
              <w:pStyle w:val="TableContents"/>
              <w:bidi w:val="0"/>
              <w:spacing w:before="0" w:after="20"/>
              <w:jc w:val="center"/>
              <w:rPr>
                <w:rFonts w:ascii="Times New Roman" w:hAnsi="Times New Roman"/>
                <w:b/>
                <w:sz w:val="16"/>
              </w:rPr>
            </w:pPr>
            <w:r>
              <w:rPr>
                <w:rFonts w:ascii="Times New Roman" w:hAnsi="Times New Roman"/>
                <w:b/>
                <w:sz w:val="16"/>
              </w:rPr>
              <w:t>June 30,</w:t>
            </w:r>
          </w:p>
        </w:tc>
        <w:tc>
          <w:tcPr>
            <w:tcW w:w="63" w:type="dxa"/>
            <w:tcBorders/>
            <w:vAlign w:val="bottom"/>
          </w:tcPr>
          <w:p>
            <w:pPr>
              <w:pStyle w:val="TableContents"/>
              <w:bidi w:val="0"/>
              <w:spacing w:before="0" w:after="283"/>
              <w:jc w:val="left"/>
              <w:rPr/>
            </w:pPr>
            <w:r>
              <w:rPr/>
              <w:t> </w:t>
            </w:r>
          </w:p>
        </w:tc>
      </w:tr>
      <w:tr>
        <w:trPr/>
        <w:tc>
          <w:tcPr>
            <w:tcW w:w="335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48"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8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948"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63" w:type="dxa"/>
            <w:tcBorders/>
            <w:vAlign w:val="bottom"/>
          </w:tcPr>
          <w:p>
            <w:pPr>
              <w:pStyle w:val="TableContents"/>
              <w:bidi w:val="0"/>
              <w:spacing w:before="0" w:after="283"/>
              <w:jc w:val="left"/>
              <w:rPr/>
            </w:pPr>
            <w:r>
              <w:rPr/>
              <w:t> </w:t>
            </w:r>
          </w:p>
        </w:tc>
      </w:tr>
      <w:tr>
        <w:trPr/>
        <w:tc>
          <w:tcPr>
            <w:tcW w:w="335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187" w:type="dxa"/>
            <w:gridSpan w:val="6"/>
            <w:tcBorders/>
            <w:vAlign w:val="bottom"/>
          </w:tcPr>
          <w:p>
            <w:pPr>
              <w:pStyle w:val="TableContents"/>
              <w:bidi w:val="0"/>
              <w:spacing w:before="0" w:after="283"/>
              <w:jc w:val="center"/>
              <w:rPr>
                <w:b/>
              </w:rPr>
            </w:pPr>
            <w:r>
              <w:rPr>
                <w:b/>
              </w:rPr>
              <w:t>(in thousands)</w:t>
            </w:r>
          </w:p>
        </w:tc>
        <w:tc>
          <w:tcPr>
            <w:tcW w:w="63" w:type="dxa"/>
            <w:tcBorders/>
            <w:vAlign w:val="bottom"/>
          </w:tcPr>
          <w:p>
            <w:pPr>
              <w:pStyle w:val="TableContents"/>
              <w:bidi w:val="0"/>
              <w:spacing w:before="0" w:after="283"/>
              <w:jc w:val="left"/>
              <w:rPr/>
            </w:pPr>
            <w:r>
              <w:rPr/>
              <w:t> </w:t>
            </w:r>
          </w:p>
        </w:tc>
      </w:tr>
      <w:tr>
        <w:trPr/>
        <w:tc>
          <w:tcPr>
            <w:tcW w:w="335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48" w:type="dxa"/>
            <w:gridSpan w:val="2"/>
            <w:tcBorders/>
            <w:vAlign w:val="bottom"/>
          </w:tcPr>
          <w:p>
            <w:pPr>
              <w:pStyle w:val="TableContents"/>
              <w:bidi w:val="0"/>
              <w:spacing w:before="0" w:after="283"/>
              <w:jc w:val="center"/>
              <w:rPr>
                <w:b/>
              </w:rPr>
            </w:pPr>
            <w:r>
              <w:rPr>
                <w:b/>
              </w:rPr>
              <w:t>£</w:t>
            </w:r>
          </w:p>
        </w:tc>
        <w:tc>
          <w:tcPr>
            <w:tcW w:w="8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948" w:type="dxa"/>
            <w:gridSpan w:val="2"/>
            <w:tcBorders/>
            <w:vAlign w:val="bottom"/>
          </w:tcPr>
          <w:p>
            <w:pPr>
              <w:pStyle w:val="TableContents"/>
              <w:bidi w:val="0"/>
              <w:spacing w:before="0" w:after="283"/>
              <w:jc w:val="center"/>
              <w:rPr>
                <w:b/>
              </w:rPr>
            </w:pPr>
            <w:r>
              <w:rPr>
                <w:b/>
              </w:rPr>
              <w:t>£</w:t>
            </w:r>
          </w:p>
        </w:tc>
        <w:tc>
          <w:tcPr>
            <w:tcW w:w="63" w:type="dxa"/>
            <w:tcBorders/>
            <w:vAlign w:val="bottom"/>
          </w:tcPr>
          <w:p>
            <w:pPr>
              <w:pStyle w:val="TableContents"/>
              <w:bidi w:val="0"/>
              <w:spacing w:before="0" w:after="283"/>
              <w:jc w:val="left"/>
              <w:rPr/>
            </w:pPr>
            <w:r>
              <w:rPr/>
              <w:t> </w:t>
            </w:r>
          </w:p>
        </w:tc>
      </w:tr>
      <w:tr>
        <w:trPr/>
        <w:tc>
          <w:tcPr>
            <w:tcW w:w="33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NUC-7738</w:t>
            </w:r>
          </w:p>
        </w:tc>
        <w:tc>
          <w:tcPr>
            <w:tcW w:w="146"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763" w:type="dxa"/>
            <w:tcBorders/>
            <w:shd w:fill="CCEEFF" w:val="clear"/>
            <w:vAlign w:val="bottom"/>
          </w:tcPr>
          <w:p>
            <w:pPr>
              <w:pStyle w:val="TableContents"/>
              <w:bidi w:val="0"/>
              <w:spacing w:before="0" w:after="283"/>
              <w:jc w:val="right"/>
              <w:rPr/>
            </w:pPr>
            <w:r>
              <w:rPr/>
              <w:t>1,878</w:t>
            </w:r>
          </w:p>
        </w:tc>
        <w:tc>
          <w:tcPr>
            <w:tcW w:w="88"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763" w:type="dxa"/>
            <w:tcBorders/>
            <w:shd w:fill="CCEEFF" w:val="clear"/>
            <w:vAlign w:val="bottom"/>
          </w:tcPr>
          <w:p>
            <w:pPr>
              <w:pStyle w:val="TableContents"/>
              <w:bidi w:val="0"/>
              <w:spacing w:before="0" w:after="283"/>
              <w:jc w:val="right"/>
              <w:rPr/>
            </w:pPr>
            <w:r>
              <w:rPr/>
              <w:t>4,486</w:t>
            </w:r>
          </w:p>
        </w:tc>
        <w:tc>
          <w:tcPr>
            <w:tcW w:w="63" w:type="dxa"/>
            <w:tcBorders/>
            <w:shd w:fill="CCEEFF" w:val="clear"/>
            <w:vAlign w:val="bottom"/>
          </w:tcPr>
          <w:p>
            <w:pPr>
              <w:pStyle w:val="TableContents"/>
              <w:bidi w:val="0"/>
              <w:spacing w:before="0" w:after="283"/>
              <w:jc w:val="left"/>
              <w:rPr/>
            </w:pPr>
            <w:r>
              <w:rPr/>
              <w:t> </w:t>
            </w:r>
          </w:p>
        </w:tc>
      </w:tr>
      <w:tr>
        <w:trPr/>
        <w:tc>
          <w:tcPr>
            <w:tcW w:w="3359" w:type="dxa"/>
            <w:tcBorders/>
          </w:tcPr>
          <w:p>
            <w:pPr>
              <w:pStyle w:val="TableContents"/>
              <w:bidi w:val="0"/>
              <w:spacing w:before="0" w:after="0"/>
              <w:jc w:val="left"/>
              <w:rPr>
                <w:rFonts w:ascii="Times New Roman" w:hAnsi="Times New Roman"/>
                <w:sz w:val="20"/>
              </w:rPr>
            </w:pPr>
            <w:r>
              <w:rPr>
                <w:rFonts w:ascii="Times New Roman" w:hAnsi="Times New Roman"/>
                <w:sz w:val="20"/>
              </w:rPr>
              <w:t>NUC-3373</w:t>
            </w:r>
          </w:p>
        </w:tc>
        <w:tc>
          <w:tcPr>
            <w:tcW w:w="14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763" w:type="dxa"/>
            <w:tcBorders/>
            <w:vAlign w:val="bottom"/>
          </w:tcPr>
          <w:p>
            <w:pPr>
              <w:pStyle w:val="TableContents"/>
              <w:bidi w:val="0"/>
              <w:spacing w:before="0" w:after="283"/>
              <w:jc w:val="right"/>
              <w:rPr/>
            </w:pPr>
            <w:r>
              <w:rPr/>
              <w:t>300</w:t>
            </w:r>
          </w:p>
        </w:tc>
        <w:tc>
          <w:tcPr>
            <w:tcW w:w="8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763" w:type="dxa"/>
            <w:tcBorders/>
            <w:vAlign w:val="bottom"/>
          </w:tcPr>
          <w:p>
            <w:pPr>
              <w:pStyle w:val="TableContents"/>
              <w:bidi w:val="0"/>
              <w:spacing w:before="0" w:after="283"/>
              <w:jc w:val="right"/>
              <w:rPr/>
            </w:pPr>
            <w:r>
              <w:rPr/>
              <w:t>2,295</w:t>
            </w:r>
          </w:p>
        </w:tc>
        <w:tc>
          <w:tcPr>
            <w:tcW w:w="63" w:type="dxa"/>
            <w:tcBorders/>
            <w:vAlign w:val="bottom"/>
          </w:tcPr>
          <w:p>
            <w:pPr>
              <w:pStyle w:val="TableContents"/>
              <w:bidi w:val="0"/>
              <w:spacing w:before="0" w:after="283"/>
              <w:jc w:val="left"/>
              <w:rPr/>
            </w:pPr>
            <w:r>
              <w:rPr/>
              <w:t> </w:t>
            </w:r>
          </w:p>
        </w:tc>
      </w:tr>
      <w:tr>
        <w:trPr/>
        <w:tc>
          <w:tcPr>
            <w:tcW w:w="33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Acelarin</w:t>
            </w:r>
          </w:p>
        </w:tc>
        <w:tc>
          <w:tcPr>
            <w:tcW w:w="146"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763" w:type="dxa"/>
            <w:tcBorders/>
            <w:shd w:fill="CCEEFF" w:val="clear"/>
            <w:vAlign w:val="bottom"/>
          </w:tcPr>
          <w:p>
            <w:pPr>
              <w:pStyle w:val="TableContents"/>
              <w:bidi w:val="0"/>
              <w:spacing w:before="0" w:after="283"/>
              <w:jc w:val="right"/>
              <w:rPr/>
            </w:pPr>
            <w:r>
              <w:rPr/>
              <w:t>12</w:t>
            </w:r>
          </w:p>
        </w:tc>
        <w:tc>
          <w:tcPr>
            <w:tcW w:w="88"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763" w:type="dxa"/>
            <w:tcBorders/>
            <w:shd w:fill="CCEEFF" w:val="clear"/>
            <w:vAlign w:val="bottom"/>
          </w:tcPr>
          <w:p>
            <w:pPr>
              <w:pStyle w:val="TableContents"/>
              <w:bidi w:val="0"/>
              <w:spacing w:before="0" w:after="283"/>
              <w:jc w:val="right"/>
              <w:rPr/>
            </w:pPr>
            <w:r>
              <w:rPr/>
              <w:t>127</w:t>
            </w:r>
          </w:p>
        </w:tc>
        <w:tc>
          <w:tcPr>
            <w:tcW w:w="63" w:type="dxa"/>
            <w:tcBorders/>
            <w:shd w:fill="CCEEFF" w:val="clear"/>
            <w:vAlign w:val="bottom"/>
          </w:tcPr>
          <w:p>
            <w:pPr>
              <w:pStyle w:val="TableContents"/>
              <w:bidi w:val="0"/>
              <w:spacing w:before="0" w:after="283"/>
              <w:jc w:val="left"/>
              <w:rPr/>
            </w:pPr>
            <w:r>
              <w:rPr/>
              <w:t> </w:t>
            </w:r>
          </w:p>
        </w:tc>
      </w:tr>
      <w:tr>
        <w:trPr/>
        <w:tc>
          <w:tcPr>
            <w:tcW w:w="3359"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4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763" w:type="dxa"/>
            <w:tcBorders/>
            <w:vAlign w:val="bottom"/>
          </w:tcPr>
          <w:p>
            <w:pPr>
              <w:pStyle w:val="TableContents"/>
              <w:bidi w:val="0"/>
              <w:spacing w:before="0" w:after="283"/>
              <w:jc w:val="right"/>
              <w:rPr/>
            </w:pPr>
            <w:r>
              <w:rPr/>
              <w:t>60</w:t>
            </w:r>
          </w:p>
        </w:tc>
        <w:tc>
          <w:tcPr>
            <w:tcW w:w="8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763" w:type="dxa"/>
            <w:tcBorders/>
            <w:vAlign w:val="bottom"/>
          </w:tcPr>
          <w:p>
            <w:pPr>
              <w:pStyle w:val="TableContents"/>
              <w:bidi w:val="0"/>
              <w:spacing w:before="0" w:after="283"/>
              <w:jc w:val="right"/>
              <w:rPr/>
            </w:pPr>
            <w:r>
              <w:rPr/>
              <w:t>196</w:t>
            </w:r>
          </w:p>
        </w:tc>
        <w:tc>
          <w:tcPr>
            <w:tcW w:w="63" w:type="dxa"/>
            <w:tcBorders/>
            <w:vAlign w:val="bottom"/>
          </w:tcPr>
          <w:p>
            <w:pPr>
              <w:pStyle w:val="TableContents"/>
              <w:bidi w:val="0"/>
              <w:spacing w:before="0" w:after="283"/>
              <w:jc w:val="left"/>
              <w:rPr/>
            </w:pPr>
            <w:r>
              <w:rPr/>
              <w:t> </w:t>
            </w:r>
          </w:p>
        </w:tc>
      </w:tr>
      <w:tr>
        <w:trPr/>
        <w:tc>
          <w:tcPr>
            <w:tcW w:w="3359"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763" w:type="dxa"/>
            <w:tcBorders/>
            <w:vAlign w:val="bottom"/>
          </w:tcPr>
          <w:p>
            <w:pPr>
              <w:pStyle w:val="TableContents"/>
              <w:pBdr>
                <w:top w:val="single" w:sz="2" w:space="1" w:color="000000"/>
              </w:pBdr>
              <w:bidi w:val="0"/>
              <w:spacing w:before="0" w:after="0"/>
              <w:jc w:val="left"/>
              <w:rPr/>
            </w:pPr>
            <w:r>
              <w:rPr/>
              <w:t> </w:t>
            </w:r>
          </w:p>
        </w:tc>
        <w:tc>
          <w:tcPr>
            <w:tcW w:w="88"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76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3359" w:type="dxa"/>
            <w:tcBorders/>
            <w:shd w:fill="CCEEFF" w:val="clear"/>
          </w:tcPr>
          <w:p>
            <w:pPr>
              <w:pStyle w:val="TableContents"/>
              <w:bidi w:val="0"/>
              <w:spacing w:before="0" w:after="283"/>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763" w:type="dxa"/>
            <w:tcBorders/>
            <w:shd w:fill="CCEEFF" w:val="clear"/>
            <w:vAlign w:val="bottom"/>
          </w:tcPr>
          <w:p>
            <w:pPr>
              <w:pStyle w:val="TableContents"/>
              <w:bidi w:val="0"/>
              <w:spacing w:before="0" w:after="283"/>
              <w:jc w:val="right"/>
              <w:rPr>
                <w:b/>
              </w:rPr>
            </w:pPr>
            <w:r>
              <w:rPr>
                <w:b/>
              </w:rPr>
              <w:t>2,250</w:t>
            </w:r>
          </w:p>
        </w:tc>
        <w:tc>
          <w:tcPr>
            <w:tcW w:w="88"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763" w:type="dxa"/>
            <w:tcBorders/>
            <w:shd w:fill="CCEEFF" w:val="clear"/>
            <w:vAlign w:val="bottom"/>
          </w:tcPr>
          <w:p>
            <w:pPr>
              <w:pStyle w:val="TableContents"/>
              <w:bidi w:val="0"/>
              <w:spacing w:before="0" w:after="283"/>
              <w:jc w:val="right"/>
              <w:rPr>
                <w:b/>
              </w:rPr>
            </w:pPr>
            <w:r>
              <w:rPr>
                <w:b/>
              </w:rPr>
              <w:t>7,104</w:t>
            </w:r>
          </w:p>
        </w:tc>
        <w:tc>
          <w:tcPr>
            <w:tcW w:w="63" w:type="dxa"/>
            <w:tcBorders/>
            <w:shd w:fill="CCEEFF" w:val="clear"/>
            <w:vAlign w:val="bottom"/>
          </w:tcPr>
          <w:p>
            <w:pPr>
              <w:pStyle w:val="TableContents"/>
              <w:bidi w:val="0"/>
              <w:spacing w:before="0" w:after="283"/>
              <w:jc w:val="left"/>
              <w:rPr/>
            </w:pPr>
            <w:r>
              <w:rPr/>
              <w:t> </w:t>
            </w:r>
          </w:p>
        </w:tc>
      </w:tr>
      <w:tr>
        <w:trPr/>
        <w:tc>
          <w:tcPr>
            <w:tcW w:w="3359"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double" w:sz="6" w:space="1" w:color="000000"/>
              </w:pBdr>
              <w:bidi w:val="0"/>
              <w:spacing w:before="0" w:after="0"/>
              <w:jc w:val="left"/>
              <w:rPr/>
            </w:pPr>
            <w:r>
              <w:rPr/>
              <w:t> </w:t>
            </w:r>
          </w:p>
        </w:tc>
        <w:tc>
          <w:tcPr>
            <w:tcW w:w="1763" w:type="dxa"/>
            <w:tcBorders/>
            <w:vAlign w:val="bottom"/>
          </w:tcPr>
          <w:p>
            <w:pPr>
              <w:pStyle w:val="TableContents"/>
              <w:pBdr>
                <w:top w:val="double" w:sz="6" w:space="1" w:color="000000"/>
              </w:pBdr>
              <w:bidi w:val="0"/>
              <w:spacing w:before="0" w:after="0"/>
              <w:jc w:val="left"/>
              <w:rPr/>
            </w:pPr>
            <w:r>
              <w:rPr/>
              <w:t> </w:t>
            </w:r>
          </w:p>
        </w:tc>
        <w:tc>
          <w:tcPr>
            <w:tcW w:w="88"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double" w:sz="6" w:space="1" w:color="000000"/>
              </w:pBdr>
              <w:bidi w:val="0"/>
              <w:spacing w:before="0" w:after="0"/>
              <w:jc w:val="left"/>
              <w:rPr/>
            </w:pPr>
            <w:r>
              <w:rPr/>
              <w:t> </w:t>
            </w:r>
          </w:p>
        </w:tc>
        <w:tc>
          <w:tcPr>
            <w:tcW w:w="1763"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Administrative expenses were £1.2 million for the three months ended June 30, 2026 as compared to £4.5 million for the three months ended June 30, 2025. </w:t>
      </w:r>
    </w:p>
    <w:p>
      <w:pPr>
        <w:pStyle w:val="TextBody"/>
        <w:bidi w:val="0"/>
        <w:spacing w:before="240" w:after="0"/>
        <w:jc w:val="left"/>
        <w:rPr>
          <w:rFonts w:ascii="Times New Roman" w:hAnsi="Times New Roman"/>
          <w:sz w:val="20"/>
        </w:rPr>
      </w:pPr>
      <w:r>
        <w:rPr>
          <w:rFonts w:ascii="Times New Roman" w:hAnsi="Times New Roman"/>
          <w:sz w:val="20"/>
        </w:rPr>
        <w:t xml:space="preserve">In the three months ended June 30,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Share-based payment expenses decreased by £2.0 million primarily due to fewer options granted in the second quarter of 2026 compared with the second quarter of 2025;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administrative expenses decreased by £1.3 million principally due to professional fees related to the issue of warrants in the three months ended June 30, 2025, with no such cost in the three months ended June 30, 2026.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Net Foreign Exchange Losses </w:t>
      </w:r>
    </w:p>
    <w:p>
      <w:pPr>
        <w:pStyle w:val="TextBody"/>
        <w:bidi w:val="0"/>
        <w:spacing w:before="120" w:after="0"/>
        <w:jc w:val="left"/>
        <w:rPr>
          <w:rFonts w:ascii="Times New Roman" w:hAnsi="Times New Roman"/>
          <w:sz w:val="20"/>
        </w:rPr>
      </w:pPr>
      <w:r>
        <w:rPr>
          <w:rFonts w:ascii="Times New Roman" w:hAnsi="Times New Roman"/>
          <w:sz w:val="20"/>
        </w:rPr>
        <w:t xml:space="preserve">For the three months ended June 30, 2026, we reported a net foreign exchange loss of £0.1 million as compared to a net foreign exchange loss of £0.2 million for the three months ended June 30, 2025. In the three months ended June 30, 2026, the US dollar depreciated less, relative to the UK pound sterling, compared with the three months ended June 30,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Finance Income </w:t>
      </w:r>
    </w:p>
    <w:p>
      <w:pPr>
        <w:pStyle w:val="TextBody"/>
        <w:bidi w:val="0"/>
        <w:spacing w:before="120" w:after="0"/>
        <w:jc w:val="left"/>
        <w:rPr>
          <w:rFonts w:ascii="Times New Roman" w:hAnsi="Times New Roman"/>
          <w:sz w:val="20"/>
        </w:rPr>
      </w:pPr>
      <w:r>
        <w:rPr>
          <w:rFonts w:ascii="Times New Roman" w:hAnsi="Times New Roman"/>
          <w:sz w:val="20"/>
        </w:rPr>
        <w:t xml:space="preserve">Finance income represents bank interest and was £0.1 million for the three months ended June 30, 2026 and £35,000 for the three months ended June 30, 2025. The increase in bank interest resulted from higher cash deposits. </w:t>
      </w:r>
    </w:p>
    <w:p>
      <w:pPr>
        <w:pStyle w:val="TextBody"/>
        <w:bidi w:val="0"/>
        <w:spacing w:before="360" w:after="0"/>
        <w:jc w:val="left"/>
        <w:rPr>
          <w:rFonts w:ascii="Times New Roman" w:hAnsi="Times New Roman"/>
          <w:b/>
          <w:i/>
          <w:sz w:val="20"/>
        </w:rPr>
      </w:pPr>
      <w:r>
        <w:rPr>
          <w:rFonts w:ascii="Times New Roman" w:hAnsi="Times New Roman"/>
          <w:b/>
          <w:i/>
          <w:sz w:val="20"/>
        </w:rPr>
        <w:t xml:space="preserve">Finance Expense </w:t>
      </w:r>
    </w:p>
    <w:p>
      <w:pPr>
        <w:pStyle w:val="TextBody"/>
        <w:bidi w:val="0"/>
        <w:spacing w:before="120" w:after="0"/>
        <w:jc w:val="left"/>
        <w:rPr>
          <w:rFonts w:ascii="Times New Roman" w:hAnsi="Times New Roman"/>
          <w:sz w:val="20"/>
        </w:rPr>
      </w:pPr>
      <w:r>
        <w:rPr>
          <w:rFonts w:ascii="Times New Roman" w:hAnsi="Times New Roman"/>
          <w:sz w:val="20"/>
        </w:rPr>
        <w:t xml:space="preserve">Finance expense relates to non-cash revaluation losses from derivative financial instruments being remeasured at fair value through profit or loss and was £nil for the three months ended June 30, 2026 as compared to £12.6 million for the three months ended June 30,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 Credit </w:t>
      </w:r>
    </w:p>
    <w:p>
      <w:pPr>
        <w:pStyle w:val="TextBody"/>
        <w:bidi w:val="0"/>
        <w:spacing w:before="120" w:after="0"/>
        <w:jc w:val="left"/>
        <w:rPr>
          <w:rFonts w:ascii="Times New Roman" w:hAnsi="Times New Roman"/>
          <w:sz w:val="20"/>
        </w:rPr>
      </w:pPr>
      <w:r>
        <w:rPr>
          <w:rFonts w:ascii="Times New Roman" w:hAnsi="Times New Roman"/>
          <w:sz w:val="20"/>
        </w:rPr>
        <w:t xml:space="preserve">The income tax credit for the three months ended June 30, 2026, which is largely comprised of U.K. research and development tax credits, amounted to £0.3 million as compared to £0.3 million for the three months ended June 30, 2025. </w:t>
      </w:r>
    </w:p>
    <w:p>
      <w:pPr>
        <w:pStyle w:val="TextBody"/>
        <w:bidi w:val="0"/>
        <w:spacing w:before="360" w:after="0"/>
        <w:jc w:val="left"/>
        <w:rPr>
          <w:rFonts w:ascii="Times New Roman" w:hAnsi="Times New Roman"/>
          <w:b/>
          <w:sz w:val="20"/>
        </w:rPr>
      </w:pPr>
      <w:r>
        <w:rPr>
          <w:rFonts w:ascii="Times New Roman" w:hAnsi="Times New Roman"/>
          <w:b/>
          <w:sz w:val="20"/>
        </w:rPr>
        <w:t xml:space="preserve">Results of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Comparison of the Six Months Ended June 30, 2026 and June 30, 2025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the results of our operations for the six months ended June 30, 2026 and 2025.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263"/>
        <w:gridCol w:w="139"/>
        <w:gridCol w:w="167"/>
        <w:gridCol w:w="1774"/>
        <w:gridCol w:w="165"/>
        <w:gridCol w:w="147"/>
        <w:gridCol w:w="142"/>
        <w:gridCol w:w="1799"/>
        <w:gridCol w:w="159"/>
      </w:tblGrid>
      <w:tr>
        <w:trPr/>
        <w:tc>
          <w:tcPr>
            <w:tcW w:w="3263"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63"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4194" w:type="dxa"/>
            <w:gridSpan w:val="6"/>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For the Six Months Ended</w:t>
            </w:r>
          </w:p>
          <w:p>
            <w:pPr>
              <w:pStyle w:val="TableContents"/>
              <w:bidi w:val="0"/>
              <w:spacing w:before="0" w:after="20"/>
              <w:jc w:val="center"/>
              <w:rPr>
                <w:rFonts w:ascii="Times New Roman" w:hAnsi="Times New Roman"/>
                <w:b/>
                <w:sz w:val="16"/>
              </w:rPr>
            </w:pPr>
            <w:r>
              <w:rPr>
                <w:rFonts w:ascii="Times New Roman" w:hAnsi="Times New Roman"/>
                <w:b/>
                <w:sz w:val="16"/>
              </w:rPr>
              <w:t>June 30,</w:t>
            </w:r>
          </w:p>
        </w:tc>
        <w:tc>
          <w:tcPr>
            <w:tcW w:w="159" w:type="dxa"/>
            <w:tcBorders/>
            <w:vAlign w:val="bottom"/>
          </w:tcPr>
          <w:p>
            <w:pPr>
              <w:pStyle w:val="TableContents"/>
              <w:bidi w:val="0"/>
              <w:spacing w:before="0" w:after="283"/>
              <w:jc w:val="left"/>
              <w:rPr/>
            </w:pPr>
            <w:r>
              <w:rPr/>
              <w:t> </w:t>
            </w:r>
          </w:p>
        </w:tc>
      </w:tr>
      <w:tr>
        <w:trPr/>
        <w:tc>
          <w:tcPr>
            <w:tcW w:w="3263"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941"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16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941"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159" w:type="dxa"/>
            <w:tcBorders/>
            <w:vAlign w:val="bottom"/>
          </w:tcPr>
          <w:p>
            <w:pPr>
              <w:pStyle w:val="TableContents"/>
              <w:bidi w:val="0"/>
              <w:spacing w:before="0" w:after="283"/>
              <w:jc w:val="left"/>
              <w:rPr/>
            </w:pPr>
            <w:r>
              <w:rPr/>
              <w:t> </w:t>
            </w:r>
          </w:p>
        </w:tc>
      </w:tr>
      <w:tr>
        <w:trPr/>
        <w:tc>
          <w:tcPr>
            <w:tcW w:w="3263"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4194" w:type="dxa"/>
            <w:gridSpan w:val="6"/>
            <w:tcBorders/>
            <w:vAlign w:val="bottom"/>
          </w:tcPr>
          <w:p>
            <w:pPr>
              <w:pStyle w:val="TableContents"/>
              <w:bidi w:val="0"/>
              <w:spacing w:before="0" w:after="283"/>
              <w:jc w:val="center"/>
              <w:rPr>
                <w:b/>
              </w:rPr>
            </w:pPr>
            <w:r>
              <w:rPr>
                <w:b/>
              </w:rPr>
              <w:t>(unaudited)</w:t>
            </w:r>
          </w:p>
        </w:tc>
        <w:tc>
          <w:tcPr>
            <w:tcW w:w="159" w:type="dxa"/>
            <w:tcBorders/>
            <w:vAlign w:val="bottom"/>
          </w:tcPr>
          <w:p>
            <w:pPr>
              <w:pStyle w:val="TableContents"/>
              <w:bidi w:val="0"/>
              <w:spacing w:before="0" w:after="283"/>
              <w:jc w:val="left"/>
              <w:rPr/>
            </w:pPr>
            <w:r>
              <w:rPr/>
              <w:t> </w:t>
            </w:r>
          </w:p>
        </w:tc>
      </w:tr>
      <w:tr>
        <w:trPr/>
        <w:tc>
          <w:tcPr>
            <w:tcW w:w="3263"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4194" w:type="dxa"/>
            <w:gridSpan w:val="6"/>
            <w:tcBorders/>
            <w:vAlign w:val="bottom"/>
          </w:tcPr>
          <w:p>
            <w:pPr>
              <w:pStyle w:val="TableContents"/>
              <w:bidi w:val="0"/>
              <w:spacing w:before="0" w:after="283"/>
              <w:jc w:val="center"/>
              <w:rPr>
                <w:b/>
              </w:rPr>
            </w:pPr>
            <w:r>
              <w:rPr>
                <w:b/>
              </w:rPr>
              <w:t>(in thousands)</w:t>
            </w:r>
          </w:p>
        </w:tc>
        <w:tc>
          <w:tcPr>
            <w:tcW w:w="159" w:type="dxa"/>
            <w:tcBorders/>
            <w:vAlign w:val="bottom"/>
          </w:tcPr>
          <w:p>
            <w:pPr>
              <w:pStyle w:val="TableContents"/>
              <w:bidi w:val="0"/>
              <w:spacing w:before="0" w:after="283"/>
              <w:jc w:val="left"/>
              <w:rPr/>
            </w:pPr>
            <w:r>
              <w:rPr/>
              <w:t> </w:t>
            </w:r>
          </w:p>
        </w:tc>
      </w:tr>
      <w:tr>
        <w:trPr/>
        <w:tc>
          <w:tcPr>
            <w:tcW w:w="3263"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941" w:type="dxa"/>
            <w:gridSpan w:val="2"/>
            <w:tcBorders/>
            <w:vAlign w:val="bottom"/>
          </w:tcPr>
          <w:p>
            <w:pPr>
              <w:pStyle w:val="TableContents"/>
              <w:bidi w:val="0"/>
              <w:spacing w:before="0" w:after="283"/>
              <w:jc w:val="center"/>
              <w:rPr>
                <w:b/>
              </w:rPr>
            </w:pPr>
            <w:r>
              <w:rPr>
                <w:b/>
              </w:rPr>
              <w:t>£</w:t>
            </w:r>
          </w:p>
        </w:tc>
        <w:tc>
          <w:tcPr>
            <w:tcW w:w="16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941" w:type="dxa"/>
            <w:gridSpan w:val="2"/>
            <w:tcBorders/>
            <w:vAlign w:val="bottom"/>
          </w:tcPr>
          <w:p>
            <w:pPr>
              <w:pStyle w:val="TableContents"/>
              <w:bidi w:val="0"/>
              <w:spacing w:before="0" w:after="283"/>
              <w:jc w:val="center"/>
              <w:rPr>
                <w:b/>
              </w:rPr>
            </w:pPr>
            <w:r>
              <w:rPr>
                <w:b/>
              </w:rPr>
              <w:t>£</w:t>
            </w:r>
          </w:p>
        </w:tc>
        <w:tc>
          <w:tcPr>
            <w:tcW w:w="159" w:type="dxa"/>
            <w:tcBorders/>
            <w:vAlign w:val="bottom"/>
          </w:tcPr>
          <w:p>
            <w:pPr>
              <w:pStyle w:val="TableContents"/>
              <w:bidi w:val="0"/>
              <w:spacing w:before="0" w:after="283"/>
              <w:jc w:val="left"/>
              <w:rPr/>
            </w:pPr>
            <w:r>
              <w:rPr/>
              <w:t> </w:t>
            </w:r>
          </w:p>
        </w:tc>
      </w:tr>
      <w:tr>
        <w:trPr/>
        <w:tc>
          <w:tcPr>
            <w:tcW w:w="32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139"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774" w:type="dxa"/>
            <w:tcBorders/>
            <w:shd w:fill="CCEEFF" w:val="clear"/>
            <w:vAlign w:val="bottom"/>
          </w:tcPr>
          <w:p>
            <w:pPr>
              <w:pStyle w:val="TableContents"/>
              <w:bidi w:val="0"/>
              <w:spacing w:before="0" w:after="283"/>
              <w:jc w:val="right"/>
              <w:rPr/>
            </w:pPr>
            <w:r>
              <w:rPr/>
              <w:t>(5,463</w:t>
            </w:r>
          </w:p>
        </w:tc>
        <w:tc>
          <w:tcPr>
            <w:tcW w:w="16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99" w:type="dxa"/>
            <w:tcBorders/>
            <w:shd w:fill="CCEEFF" w:val="clear"/>
            <w:vAlign w:val="bottom"/>
          </w:tcPr>
          <w:p>
            <w:pPr>
              <w:pStyle w:val="TableContents"/>
              <w:bidi w:val="0"/>
              <w:spacing w:before="0" w:after="283"/>
              <w:jc w:val="right"/>
              <w:rPr/>
            </w:pPr>
            <w:r>
              <w:rPr/>
              <w:t>(8,829</w:t>
            </w:r>
          </w:p>
        </w:tc>
        <w:tc>
          <w:tcPr>
            <w:tcW w:w="159" w:type="dxa"/>
            <w:tcBorders/>
            <w:shd w:fill="CCEEFF" w:val="clear"/>
            <w:vAlign w:val="bottom"/>
          </w:tcPr>
          <w:p>
            <w:pPr>
              <w:pStyle w:val="TableContents"/>
              <w:bidi w:val="0"/>
              <w:spacing w:before="0" w:after="283"/>
              <w:jc w:val="left"/>
              <w:rPr/>
            </w:pPr>
            <w:r>
              <w:rPr/>
              <w:t>) </w:t>
            </w:r>
          </w:p>
        </w:tc>
      </w:tr>
      <w:tr>
        <w:trPr/>
        <w:tc>
          <w:tcPr>
            <w:tcW w:w="3263" w:type="dxa"/>
            <w:tcBorders/>
          </w:tcPr>
          <w:p>
            <w:pPr>
              <w:pStyle w:val="TableContents"/>
              <w:bidi w:val="0"/>
              <w:spacing w:before="0" w:after="0"/>
              <w:jc w:val="left"/>
              <w:rPr>
                <w:rFonts w:ascii="Times New Roman" w:hAnsi="Times New Roman"/>
                <w:sz w:val="20"/>
              </w:rPr>
            </w:pPr>
            <w:r>
              <w:rPr>
                <w:rFonts w:ascii="Times New Roman" w:hAnsi="Times New Roman"/>
                <w:sz w:val="20"/>
              </w:rPr>
              <w:t>Administrative expenses</w:t>
            </w:r>
          </w:p>
        </w:tc>
        <w:tc>
          <w:tcPr>
            <w:tcW w:w="139"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774" w:type="dxa"/>
            <w:tcBorders/>
            <w:vAlign w:val="bottom"/>
          </w:tcPr>
          <w:p>
            <w:pPr>
              <w:pStyle w:val="TableContents"/>
              <w:bidi w:val="0"/>
              <w:spacing w:before="0" w:after="283"/>
              <w:jc w:val="right"/>
              <w:rPr/>
            </w:pPr>
            <w:r>
              <w:rPr/>
              <w:t>(2,755</w:t>
            </w:r>
          </w:p>
        </w:tc>
        <w:tc>
          <w:tcPr>
            <w:tcW w:w="16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99" w:type="dxa"/>
            <w:tcBorders/>
            <w:vAlign w:val="bottom"/>
          </w:tcPr>
          <w:p>
            <w:pPr>
              <w:pStyle w:val="TableContents"/>
              <w:bidi w:val="0"/>
              <w:spacing w:before="0" w:after="283"/>
              <w:jc w:val="right"/>
              <w:rPr/>
            </w:pPr>
            <w:r>
              <w:rPr/>
              <w:t>(5,590</w:t>
            </w:r>
          </w:p>
        </w:tc>
        <w:tc>
          <w:tcPr>
            <w:tcW w:w="159" w:type="dxa"/>
            <w:tcBorders/>
            <w:vAlign w:val="bottom"/>
          </w:tcPr>
          <w:p>
            <w:pPr>
              <w:pStyle w:val="TableContents"/>
              <w:bidi w:val="0"/>
              <w:spacing w:before="0" w:after="283"/>
              <w:jc w:val="left"/>
              <w:rPr/>
            </w:pPr>
            <w:r>
              <w:rPr/>
              <w:t>) </w:t>
            </w:r>
          </w:p>
        </w:tc>
      </w:tr>
      <w:tr>
        <w:trPr/>
        <w:tc>
          <w:tcPr>
            <w:tcW w:w="32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foreign exchange gains (losses)</w:t>
            </w:r>
          </w:p>
        </w:tc>
        <w:tc>
          <w:tcPr>
            <w:tcW w:w="139"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774" w:type="dxa"/>
            <w:tcBorders/>
            <w:shd w:fill="CCEEFF" w:val="clear"/>
            <w:vAlign w:val="bottom"/>
          </w:tcPr>
          <w:p>
            <w:pPr>
              <w:pStyle w:val="TableContents"/>
              <w:bidi w:val="0"/>
              <w:spacing w:before="0" w:after="283"/>
              <w:jc w:val="right"/>
              <w:rPr/>
            </w:pPr>
            <w:r>
              <w:rPr/>
              <w:t>253</w:t>
            </w:r>
          </w:p>
        </w:tc>
        <w:tc>
          <w:tcPr>
            <w:tcW w:w="16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99" w:type="dxa"/>
            <w:tcBorders/>
            <w:shd w:fill="CCEEFF" w:val="clear"/>
            <w:vAlign w:val="bottom"/>
          </w:tcPr>
          <w:p>
            <w:pPr>
              <w:pStyle w:val="TableContents"/>
              <w:bidi w:val="0"/>
              <w:spacing w:before="0" w:after="283"/>
              <w:jc w:val="right"/>
              <w:rPr/>
            </w:pPr>
            <w:r>
              <w:rPr/>
              <w:t>(261</w:t>
            </w:r>
          </w:p>
        </w:tc>
        <w:tc>
          <w:tcPr>
            <w:tcW w:w="159" w:type="dxa"/>
            <w:tcBorders/>
            <w:shd w:fill="CCEEFF" w:val="clear"/>
            <w:vAlign w:val="bottom"/>
          </w:tcPr>
          <w:p>
            <w:pPr>
              <w:pStyle w:val="TableContents"/>
              <w:bidi w:val="0"/>
              <w:spacing w:before="0" w:after="283"/>
              <w:jc w:val="left"/>
              <w:rPr/>
            </w:pPr>
            <w:r>
              <w:rPr/>
              <w:t>) </w:t>
            </w:r>
          </w:p>
        </w:tc>
      </w:tr>
      <w:tr>
        <w:trPr/>
        <w:tc>
          <w:tcPr>
            <w:tcW w:w="3263"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1774"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79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26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Operating loss</w:t>
            </w:r>
          </w:p>
        </w:tc>
        <w:tc>
          <w:tcPr>
            <w:tcW w:w="139"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774" w:type="dxa"/>
            <w:tcBorders/>
            <w:vAlign w:val="bottom"/>
          </w:tcPr>
          <w:p>
            <w:pPr>
              <w:pStyle w:val="TableContents"/>
              <w:bidi w:val="0"/>
              <w:spacing w:before="0" w:after="283"/>
              <w:jc w:val="right"/>
              <w:rPr>
                <w:b/>
              </w:rPr>
            </w:pPr>
            <w:r>
              <w:rPr>
                <w:b/>
              </w:rPr>
              <w:t>(7,965</w:t>
            </w:r>
          </w:p>
        </w:tc>
        <w:tc>
          <w:tcPr>
            <w:tcW w:w="165" w:type="dxa"/>
            <w:tcBorders/>
            <w:vAlign w:val="bottom"/>
          </w:tcPr>
          <w:p>
            <w:pPr>
              <w:pStyle w:val="TableContents"/>
              <w:bidi w:val="0"/>
              <w:spacing w:before="0" w:after="283"/>
              <w:jc w:val="left"/>
              <w:rPr>
                <w:b/>
              </w:rPr>
            </w:pPr>
            <w:r>
              <w:rPr>
                <w:b/>
              </w:rPr>
              <w:t>) </w:t>
            </w:r>
          </w:p>
        </w:tc>
        <w:tc>
          <w:tcPr>
            <w:tcW w:w="14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99" w:type="dxa"/>
            <w:tcBorders/>
            <w:vAlign w:val="bottom"/>
          </w:tcPr>
          <w:p>
            <w:pPr>
              <w:pStyle w:val="TableContents"/>
              <w:bidi w:val="0"/>
              <w:spacing w:before="0" w:after="283"/>
              <w:jc w:val="right"/>
              <w:rPr>
                <w:b/>
              </w:rPr>
            </w:pPr>
            <w:r>
              <w:rPr>
                <w:b/>
              </w:rPr>
              <w:t>(14,680</w:t>
            </w:r>
          </w:p>
        </w:tc>
        <w:tc>
          <w:tcPr>
            <w:tcW w:w="159" w:type="dxa"/>
            <w:tcBorders/>
            <w:vAlign w:val="bottom"/>
          </w:tcPr>
          <w:p>
            <w:pPr>
              <w:pStyle w:val="TableContents"/>
              <w:bidi w:val="0"/>
              <w:spacing w:before="0" w:after="283"/>
              <w:jc w:val="left"/>
              <w:rPr>
                <w:b/>
              </w:rPr>
            </w:pPr>
            <w:r>
              <w:rPr>
                <w:b/>
              </w:rPr>
              <w:t>) </w:t>
            </w:r>
          </w:p>
        </w:tc>
      </w:tr>
      <w:tr>
        <w:trPr/>
        <w:tc>
          <w:tcPr>
            <w:tcW w:w="32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income</w:t>
            </w:r>
          </w:p>
        </w:tc>
        <w:tc>
          <w:tcPr>
            <w:tcW w:w="139"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774" w:type="dxa"/>
            <w:tcBorders/>
            <w:shd w:fill="CCEEFF" w:val="clear"/>
            <w:vAlign w:val="bottom"/>
          </w:tcPr>
          <w:p>
            <w:pPr>
              <w:pStyle w:val="TableContents"/>
              <w:bidi w:val="0"/>
              <w:spacing w:before="0" w:after="283"/>
              <w:jc w:val="right"/>
              <w:rPr/>
            </w:pPr>
            <w:r>
              <w:rPr/>
              <w:t>277</w:t>
            </w:r>
          </w:p>
        </w:tc>
        <w:tc>
          <w:tcPr>
            <w:tcW w:w="16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99" w:type="dxa"/>
            <w:tcBorders/>
            <w:shd w:fill="CCEEFF" w:val="clear"/>
            <w:vAlign w:val="bottom"/>
          </w:tcPr>
          <w:p>
            <w:pPr>
              <w:pStyle w:val="TableContents"/>
              <w:bidi w:val="0"/>
              <w:spacing w:before="0" w:after="283"/>
              <w:jc w:val="right"/>
              <w:rPr/>
            </w:pPr>
            <w:r>
              <w:rPr/>
              <w:t>60</w:t>
            </w:r>
          </w:p>
        </w:tc>
        <w:tc>
          <w:tcPr>
            <w:tcW w:w="159" w:type="dxa"/>
            <w:tcBorders/>
            <w:shd w:fill="CCEEFF" w:val="clear"/>
            <w:vAlign w:val="bottom"/>
          </w:tcPr>
          <w:p>
            <w:pPr>
              <w:pStyle w:val="TableContents"/>
              <w:bidi w:val="0"/>
              <w:spacing w:before="0" w:after="283"/>
              <w:jc w:val="left"/>
              <w:rPr/>
            </w:pPr>
            <w:r>
              <w:rPr/>
              <w:t> </w:t>
            </w:r>
          </w:p>
        </w:tc>
      </w:tr>
      <w:tr>
        <w:trPr/>
        <w:tc>
          <w:tcPr>
            <w:tcW w:w="3263" w:type="dxa"/>
            <w:tcBorders/>
          </w:tcPr>
          <w:p>
            <w:pPr>
              <w:pStyle w:val="TableContents"/>
              <w:bidi w:val="0"/>
              <w:spacing w:before="0" w:after="0"/>
              <w:jc w:val="left"/>
              <w:rPr>
                <w:rFonts w:ascii="Times New Roman" w:hAnsi="Times New Roman"/>
                <w:sz w:val="20"/>
              </w:rPr>
            </w:pPr>
            <w:r>
              <w:rPr>
                <w:rFonts w:ascii="Times New Roman" w:hAnsi="Times New Roman"/>
                <w:sz w:val="20"/>
              </w:rPr>
              <w:t>Finance expense</w:t>
            </w:r>
          </w:p>
        </w:tc>
        <w:tc>
          <w:tcPr>
            <w:tcW w:w="139"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774"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99" w:type="dxa"/>
            <w:tcBorders/>
            <w:vAlign w:val="bottom"/>
          </w:tcPr>
          <w:p>
            <w:pPr>
              <w:pStyle w:val="TableContents"/>
              <w:bidi w:val="0"/>
              <w:spacing w:before="0" w:after="283"/>
              <w:jc w:val="right"/>
              <w:rPr/>
            </w:pPr>
            <w:r>
              <w:rPr/>
              <w:t>(12,648</w:t>
            </w:r>
          </w:p>
        </w:tc>
        <w:tc>
          <w:tcPr>
            <w:tcW w:w="159" w:type="dxa"/>
            <w:tcBorders/>
            <w:vAlign w:val="bottom"/>
          </w:tcPr>
          <w:p>
            <w:pPr>
              <w:pStyle w:val="TableContents"/>
              <w:bidi w:val="0"/>
              <w:spacing w:before="0" w:after="283"/>
              <w:jc w:val="left"/>
              <w:rPr/>
            </w:pPr>
            <w:r>
              <w:rPr/>
              <w:t>) </w:t>
            </w:r>
          </w:p>
        </w:tc>
      </w:tr>
      <w:tr>
        <w:trPr/>
        <w:tc>
          <w:tcPr>
            <w:tcW w:w="3263"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1774"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79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26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Loss before tax</w:t>
            </w:r>
          </w:p>
        </w:tc>
        <w:tc>
          <w:tcPr>
            <w:tcW w:w="139"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774" w:type="dxa"/>
            <w:tcBorders/>
            <w:shd w:fill="CCEEFF" w:val="clear"/>
            <w:vAlign w:val="bottom"/>
          </w:tcPr>
          <w:p>
            <w:pPr>
              <w:pStyle w:val="TableContents"/>
              <w:bidi w:val="0"/>
              <w:spacing w:before="0" w:after="283"/>
              <w:jc w:val="right"/>
              <w:rPr>
                <w:b/>
              </w:rPr>
            </w:pPr>
            <w:r>
              <w:rPr>
                <w:b/>
              </w:rPr>
              <w:t>(7,688</w:t>
            </w:r>
          </w:p>
        </w:tc>
        <w:tc>
          <w:tcPr>
            <w:tcW w:w="165" w:type="dxa"/>
            <w:tcBorders/>
            <w:shd w:fill="CCEEFF" w:val="clear"/>
            <w:vAlign w:val="bottom"/>
          </w:tcPr>
          <w:p>
            <w:pPr>
              <w:pStyle w:val="TableContents"/>
              <w:bidi w:val="0"/>
              <w:spacing w:before="0" w:after="283"/>
              <w:jc w:val="left"/>
              <w:rPr>
                <w:b/>
              </w:rPr>
            </w:pPr>
            <w:r>
              <w:rPr>
                <w:b/>
              </w:rPr>
              <w:t>) </w:t>
            </w:r>
          </w:p>
        </w:tc>
        <w:tc>
          <w:tcPr>
            <w:tcW w:w="14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99" w:type="dxa"/>
            <w:tcBorders/>
            <w:shd w:fill="CCEEFF" w:val="clear"/>
            <w:vAlign w:val="bottom"/>
          </w:tcPr>
          <w:p>
            <w:pPr>
              <w:pStyle w:val="TableContents"/>
              <w:bidi w:val="0"/>
              <w:spacing w:before="0" w:after="283"/>
              <w:jc w:val="right"/>
              <w:rPr>
                <w:b/>
              </w:rPr>
            </w:pPr>
            <w:r>
              <w:rPr>
                <w:b/>
              </w:rPr>
              <w:t>(27,268</w:t>
            </w:r>
          </w:p>
        </w:tc>
        <w:tc>
          <w:tcPr>
            <w:tcW w:w="159" w:type="dxa"/>
            <w:tcBorders/>
            <w:shd w:fill="CCEEFF" w:val="clear"/>
            <w:vAlign w:val="bottom"/>
          </w:tcPr>
          <w:p>
            <w:pPr>
              <w:pStyle w:val="TableContents"/>
              <w:bidi w:val="0"/>
              <w:spacing w:before="0" w:after="283"/>
              <w:jc w:val="left"/>
              <w:rPr>
                <w:b/>
              </w:rPr>
            </w:pPr>
            <w:r>
              <w:rPr>
                <w:b/>
              </w:rPr>
              <w:t>) </w:t>
            </w:r>
          </w:p>
        </w:tc>
      </w:tr>
      <w:tr>
        <w:trPr/>
        <w:tc>
          <w:tcPr>
            <w:tcW w:w="3263" w:type="dxa"/>
            <w:tcBorders/>
          </w:tcPr>
          <w:p>
            <w:pPr>
              <w:pStyle w:val="TableContents"/>
              <w:bidi w:val="0"/>
              <w:spacing w:before="0" w:after="0"/>
              <w:jc w:val="left"/>
              <w:rPr>
                <w:rFonts w:ascii="Times New Roman" w:hAnsi="Times New Roman"/>
                <w:sz w:val="20"/>
              </w:rPr>
            </w:pPr>
            <w:r>
              <w:rPr>
                <w:rFonts w:ascii="Times New Roman" w:hAnsi="Times New Roman"/>
                <w:sz w:val="20"/>
              </w:rPr>
              <w:t>Income tax credit</w:t>
            </w:r>
          </w:p>
        </w:tc>
        <w:tc>
          <w:tcPr>
            <w:tcW w:w="139"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774" w:type="dxa"/>
            <w:tcBorders/>
            <w:vAlign w:val="bottom"/>
          </w:tcPr>
          <w:p>
            <w:pPr>
              <w:pStyle w:val="TableContents"/>
              <w:bidi w:val="0"/>
              <w:spacing w:before="0" w:after="283"/>
              <w:jc w:val="right"/>
              <w:rPr/>
            </w:pPr>
            <w:r>
              <w:rPr/>
              <w:t>743</w:t>
            </w:r>
          </w:p>
        </w:tc>
        <w:tc>
          <w:tcPr>
            <w:tcW w:w="16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99" w:type="dxa"/>
            <w:tcBorders/>
            <w:vAlign w:val="bottom"/>
          </w:tcPr>
          <w:p>
            <w:pPr>
              <w:pStyle w:val="TableContents"/>
              <w:bidi w:val="0"/>
              <w:spacing w:before="0" w:after="283"/>
              <w:jc w:val="right"/>
              <w:rPr/>
            </w:pPr>
            <w:r>
              <w:rPr/>
              <w:t>681</w:t>
            </w:r>
          </w:p>
        </w:tc>
        <w:tc>
          <w:tcPr>
            <w:tcW w:w="159" w:type="dxa"/>
            <w:tcBorders/>
            <w:vAlign w:val="bottom"/>
          </w:tcPr>
          <w:p>
            <w:pPr>
              <w:pStyle w:val="TableContents"/>
              <w:bidi w:val="0"/>
              <w:spacing w:before="0" w:after="283"/>
              <w:jc w:val="left"/>
              <w:rPr/>
            </w:pPr>
            <w:r>
              <w:rPr/>
              <w:t> </w:t>
            </w:r>
          </w:p>
        </w:tc>
      </w:tr>
      <w:tr>
        <w:trPr/>
        <w:tc>
          <w:tcPr>
            <w:tcW w:w="3263"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1774"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79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26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Loss for the period</w:t>
            </w:r>
          </w:p>
        </w:tc>
        <w:tc>
          <w:tcPr>
            <w:tcW w:w="139"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774" w:type="dxa"/>
            <w:tcBorders/>
            <w:shd w:fill="CCEEFF" w:val="clear"/>
            <w:vAlign w:val="bottom"/>
          </w:tcPr>
          <w:p>
            <w:pPr>
              <w:pStyle w:val="TableContents"/>
              <w:bidi w:val="0"/>
              <w:spacing w:before="0" w:after="283"/>
              <w:jc w:val="right"/>
              <w:rPr>
                <w:b/>
              </w:rPr>
            </w:pPr>
            <w:r>
              <w:rPr>
                <w:b/>
              </w:rPr>
              <w:t>(6,945</w:t>
            </w:r>
          </w:p>
        </w:tc>
        <w:tc>
          <w:tcPr>
            <w:tcW w:w="165" w:type="dxa"/>
            <w:tcBorders/>
            <w:shd w:fill="CCEEFF" w:val="clear"/>
            <w:vAlign w:val="bottom"/>
          </w:tcPr>
          <w:p>
            <w:pPr>
              <w:pStyle w:val="TableContents"/>
              <w:bidi w:val="0"/>
              <w:spacing w:before="0" w:after="283"/>
              <w:jc w:val="left"/>
              <w:rPr>
                <w:b/>
              </w:rPr>
            </w:pPr>
            <w:r>
              <w:rPr>
                <w:b/>
              </w:rPr>
              <w:t>) </w:t>
            </w:r>
          </w:p>
        </w:tc>
        <w:tc>
          <w:tcPr>
            <w:tcW w:w="14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99" w:type="dxa"/>
            <w:tcBorders/>
            <w:shd w:fill="CCEEFF" w:val="clear"/>
            <w:vAlign w:val="bottom"/>
          </w:tcPr>
          <w:p>
            <w:pPr>
              <w:pStyle w:val="TableContents"/>
              <w:bidi w:val="0"/>
              <w:spacing w:before="0" w:after="283"/>
              <w:jc w:val="right"/>
              <w:rPr>
                <w:b/>
              </w:rPr>
            </w:pPr>
            <w:r>
              <w:rPr>
                <w:b/>
              </w:rPr>
              <w:t>(26,587</w:t>
            </w:r>
          </w:p>
        </w:tc>
        <w:tc>
          <w:tcPr>
            <w:tcW w:w="159" w:type="dxa"/>
            <w:tcBorders/>
            <w:shd w:fill="CCEEFF" w:val="clear"/>
            <w:vAlign w:val="bottom"/>
          </w:tcPr>
          <w:p>
            <w:pPr>
              <w:pStyle w:val="TableContents"/>
              <w:bidi w:val="0"/>
              <w:spacing w:before="0" w:after="283"/>
              <w:jc w:val="left"/>
              <w:rPr>
                <w:b/>
              </w:rPr>
            </w:pPr>
            <w:r>
              <w:rPr>
                <w:b/>
              </w:rPr>
              <w:t>) </w:t>
            </w:r>
          </w:p>
        </w:tc>
      </w:tr>
      <w:tr>
        <w:trPr/>
        <w:tc>
          <w:tcPr>
            <w:tcW w:w="3263"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income (expense):</w:t>
            </w:r>
          </w:p>
        </w:tc>
        <w:tc>
          <w:tcPr>
            <w:tcW w:w="139"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sz w:val="4"/>
                <w:szCs w:val="4"/>
              </w:rPr>
            </w:pPr>
            <w:r>
              <w:rPr>
                <w:sz w:val="4"/>
                <w:szCs w:val="4"/>
              </w:rPr>
            </w:r>
          </w:p>
        </w:tc>
        <w:tc>
          <w:tcPr>
            <w:tcW w:w="1774"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sz w:val="4"/>
                <w:szCs w:val="4"/>
              </w:rPr>
            </w:pPr>
            <w:r>
              <w:rPr>
                <w:sz w:val="4"/>
                <w:szCs w:val="4"/>
              </w:rPr>
            </w:r>
          </w:p>
        </w:tc>
        <w:tc>
          <w:tcPr>
            <w:tcW w:w="1799"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32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Items that may be reclassified subsequently to profit or loss:</w:t>
            </w:r>
          </w:p>
        </w:tc>
        <w:tc>
          <w:tcPr>
            <w:tcW w:w="139"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sz w:val="4"/>
                <w:szCs w:val="4"/>
              </w:rPr>
            </w:pPr>
            <w:r>
              <w:rPr>
                <w:sz w:val="4"/>
                <w:szCs w:val="4"/>
              </w:rPr>
            </w:r>
          </w:p>
        </w:tc>
        <w:tc>
          <w:tcPr>
            <w:tcW w:w="1774"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sz w:val="4"/>
                <w:szCs w:val="4"/>
              </w:rPr>
            </w:pPr>
            <w:r>
              <w:rPr>
                <w:sz w:val="4"/>
                <w:szCs w:val="4"/>
              </w:rPr>
            </w:r>
          </w:p>
        </w:tc>
        <w:tc>
          <w:tcPr>
            <w:tcW w:w="14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1799"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3263" w:type="dxa"/>
            <w:tcBorders/>
          </w:tcPr>
          <w:p>
            <w:pPr>
              <w:pStyle w:val="TableContents"/>
              <w:bidi w:val="0"/>
              <w:spacing w:before="0" w:after="0"/>
              <w:jc w:val="left"/>
              <w:rPr>
                <w:rFonts w:ascii="Times New Roman" w:hAnsi="Times New Roman"/>
                <w:sz w:val="20"/>
              </w:rPr>
            </w:pPr>
            <w:r>
              <w:rPr>
                <w:rFonts w:ascii="Times New Roman" w:hAnsi="Times New Roman"/>
                <w:sz w:val="20"/>
              </w:rPr>
              <w:t>Exchange differences on translation of foreign operations</w:t>
            </w:r>
          </w:p>
        </w:tc>
        <w:tc>
          <w:tcPr>
            <w:tcW w:w="139"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774" w:type="dxa"/>
            <w:tcBorders/>
            <w:vAlign w:val="bottom"/>
          </w:tcPr>
          <w:p>
            <w:pPr>
              <w:pStyle w:val="TableContents"/>
              <w:bidi w:val="0"/>
              <w:spacing w:before="0" w:after="283"/>
              <w:jc w:val="right"/>
              <w:rPr/>
            </w:pPr>
            <w:r>
              <w:rPr/>
              <w:t>13</w:t>
            </w:r>
          </w:p>
        </w:tc>
        <w:tc>
          <w:tcPr>
            <w:tcW w:w="16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99" w:type="dxa"/>
            <w:tcBorders/>
            <w:vAlign w:val="bottom"/>
          </w:tcPr>
          <w:p>
            <w:pPr>
              <w:pStyle w:val="TableContents"/>
              <w:bidi w:val="0"/>
              <w:spacing w:before="0" w:after="283"/>
              <w:jc w:val="right"/>
              <w:rPr/>
            </w:pPr>
            <w:r>
              <w:rPr/>
              <w:t>(76</w:t>
            </w:r>
          </w:p>
        </w:tc>
        <w:tc>
          <w:tcPr>
            <w:tcW w:w="159" w:type="dxa"/>
            <w:tcBorders/>
            <w:vAlign w:val="bottom"/>
          </w:tcPr>
          <w:p>
            <w:pPr>
              <w:pStyle w:val="TableContents"/>
              <w:bidi w:val="0"/>
              <w:spacing w:before="0" w:after="283"/>
              <w:jc w:val="left"/>
              <w:rPr/>
            </w:pPr>
            <w:r>
              <w:rPr/>
              <w:t>) </w:t>
            </w:r>
          </w:p>
        </w:tc>
      </w:tr>
      <w:tr>
        <w:trPr/>
        <w:tc>
          <w:tcPr>
            <w:tcW w:w="3263"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1774"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79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26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comprehensive loss for the period</w:t>
            </w:r>
          </w:p>
        </w:tc>
        <w:tc>
          <w:tcPr>
            <w:tcW w:w="139"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774" w:type="dxa"/>
            <w:tcBorders/>
            <w:shd w:fill="CCEEFF" w:val="clear"/>
            <w:vAlign w:val="bottom"/>
          </w:tcPr>
          <w:p>
            <w:pPr>
              <w:pStyle w:val="TableContents"/>
              <w:bidi w:val="0"/>
              <w:spacing w:before="0" w:after="283"/>
              <w:jc w:val="right"/>
              <w:rPr>
                <w:b/>
              </w:rPr>
            </w:pPr>
            <w:r>
              <w:rPr>
                <w:b/>
              </w:rPr>
              <w:t>(6,932</w:t>
            </w:r>
          </w:p>
        </w:tc>
        <w:tc>
          <w:tcPr>
            <w:tcW w:w="165" w:type="dxa"/>
            <w:tcBorders/>
            <w:shd w:fill="CCEEFF" w:val="clear"/>
            <w:vAlign w:val="bottom"/>
          </w:tcPr>
          <w:p>
            <w:pPr>
              <w:pStyle w:val="TableContents"/>
              <w:bidi w:val="0"/>
              <w:spacing w:before="0" w:after="283"/>
              <w:jc w:val="left"/>
              <w:rPr>
                <w:b/>
              </w:rPr>
            </w:pPr>
            <w:r>
              <w:rPr>
                <w:b/>
              </w:rPr>
              <w:t>) </w:t>
            </w:r>
          </w:p>
        </w:tc>
        <w:tc>
          <w:tcPr>
            <w:tcW w:w="14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99" w:type="dxa"/>
            <w:tcBorders/>
            <w:shd w:fill="CCEEFF" w:val="clear"/>
            <w:vAlign w:val="bottom"/>
          </w:tcPr>
          <w:p>
            <w:pPr>
              <w:pStyle w:val="TableContents"/>
              <w:bidi w:val="0"/>
              <w:spacing w:before="0" w:after="283"/>
              <w:jc w:val="right"/>
              <w:rPr>
                <w:b/>
              </w:rPr>
            </w:pPr>
            <w:r>
              <w:rPr>
                <w:b/>
              </w:rPr>
              <w:t>(26,663</w:t>
            </w:r>
          </w:p>
        </w:tc>
        <w:tc>
          <w:tcPr>
            <w:tcW w:w="159" w:type="dxa"/>
            <w:tcBorders/>
            <w:shd w:fill="CCEEFF" w:val="clear"/>
            <w:vAlign w:val="bottom"/>
          </w:tcPr>
          <w:p>
            <w:pPr>
              <w:pStyle w:val="TableContents"/>
              <w:bidi w:val="0"/>
              <w:spacing w:before="0" w:after="283"/>
              <w:jc w:val="left"/>
              <w:rPr>
                <w:b/>
              </w:rPr>
            </w:pPr>
            <w:r>
              <w:rPr>
                <w:b/>
              </w:rPr>
              <w:t>) </w:t>
            </w:r>
          </w:p>
        </w:tc>
      </w:tr>
      <w:tr>
        <w:trPr/>
        <w:tc>
          <w:tcPr>
            <w:tcW w:w="3263"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double" w:sz="6" w:space="1" w:color="000000"/>
              </w:pBdr>
              <w:bidi w:val="0"/>
              <w:spacing w:before="0" w:after="0"/>
              <w:jc w:val="left"/>
              <w:rPr/>
            </w:pPr>
            <w:r>
              <w:rPr/>
              <w:t> </w:t>
            </w:r>
          </w:p>
        </w:tc>
        <w:tc>
          <w:tcPr>
            <w:tcW w:w="1774"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179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expenses were £5.5 million for the six months ended June 30, 2026 as compared to £8.8 million for the six months ended June 30, 2025. </w:t>
      </w:r>
    </w:p>
    <w:p>
      <w:pPr>
        <w:pStyle w:val="TextBody"/>
        <w:bidi w:val="0"/>
        <w:spacing w:before="240" w:after="0"/>
        <w:jc w:val="left"/>
        <w:rPr>
          <w:rFonts w:ascii="Times New Roman" w:hAnsi="Times New Roman"/>
          <w:sz w:val="20"/>
        </w:rPr>
      </w:pPr>
      <w:r>
        <w:rPr>
          <w:rFonts w:ascii="Times New Roman" w:hAnsi="Times New Roman"/>
          <w:sz w:val="20"/>
        </w:rPr>
        <w:t xml:space="preserve">In the six months ended June 30,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Share-based payment expenses decreased by £4.0 million primarily due to the lower fair value of options granted in the six months ended June 30, 2026 compared with the six months ended June 30, 2025;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research and development costs increased by £0.7 million principally due to higher clinical trial costs.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gives a breakdown of the research and development costs incurred by product candidate for the six months ended June 30, 2026 and 2025: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382"/>
        <w:gridCol w:w="146"/>
        <w:gridCol w:w="186"/>
        <w:gridCol w:w="1762"/>
        <w:gridCol w:w="80"/>
        <w:gridCol w:w="187"/>
        <w:gridCol w:w="185"/>
        <w:gridCol w:w="1763"/>
        <w:gridCol w:w="64"/>
      </w:tblGrid>
      <w:tr>
        <w:trPr/>
        <w:tc>
          <w:tcPr>
            <w:tcW w:w="3382"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38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163" w:type="dxa"/>
            <w:gridSpan w:val="6"/>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For the Six Months Ended</w:t>
            </w:r>
          </w:p>
          <w:p>
            <w:pPr>
              <w:pStyle w:val="TableContents"/>
              <w:bidi w:val="0"/>
              <w:spacing w:before="0" w:after="20"/>
              <w:jc w:val="center"/>
              <w:rPr>
                <w:rFonts w:ascii="Times New Roman" w:hAnsi="Times New Roman"/>
                <w:b/>
                <w:sz w:val="16"/>
              </w:rPr>
            </w:pPr>
            <w:r>
              <w:rPr>
                <w:rFonts w:ascii="Times New Roman" w:hAnsi="Times New Roman"/>
                <w:b/>
                <w:sz w:val="16"/>
              </w:rPr>
              <w:t>June 30,</w:t>
            </w:r>
          </w:p>
        </w:tc>
        <w:tc>
          <w:tcPr>
            <w:tcW w:w="64" w:type="dxa"/>
            <w:tcBorders/>
            <w:vAlign w:val="bottom"/>
          </w:tcPr>
          <w:p>
            <w:pPr>
              <w:pStyle w:val="TableContents"/>
              <w:bidi w:val="0"/>
              <w:spacing w:before="0" w:after="283"/>
              <w:jc w:val="left"/>
              <w:rPr/>
            </w:pPr>
            <w:r>
              <w:rPr/>
              <w:t> </w:t>
            </w:r>
          </w:p>
        </w:tc>
      </w:tr>
      <w:tr>
        <w:trPr/>
        <w:tc>
          <w:tcPr>
            <w:tcW w:w="338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48"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8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948"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64" w:type="dxa"/>
            <w:tcBorders/>
            <w:vAlign w:val="bottom"/>
          </w:tcPr>
          <w:p>
            <w:pPr>
              <w:pStyle w:val="TableContents"/>
              <w:bidi w:val="0"/>
              <w:spacing w:before="0" w:after="283"/>
              <w:jc w:val="left"/>
              <w:rPr/>
            </w:pPr>
            <w:r>
              <w:rPr/>
              <w:t> </w:t>
            </w:r>
          </w:p>
        </w:tc>
      </w:tr>
      <w:tr>
        <w:trPr/>
        <w:tc>
          <w:tcPr>
            <w:tcW w:w="338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163" w:type="dxa"/>
            <w:gridSpan w:val="6"/>
            <w:tcBorders/>
            <w:vAlign w:val="bottom"/>
          </w:tcPr>
          <w:p>
            <w:pPr>
              <w:pStyle w:val="TableContents"/>
              <w:bidi w:val="0"/>
              <w:spacing w:before="0" w:after="283"/>
              <w:jc w:val="center"/>
              <w:rPr>
                <w:b/>
              </w:rPr>
            </w:pPr>
            <w:r>
              <w:rPr>
                <w:b/>
              </w:rPr>
              <w:t>(in thousands)</w:t>
            </w:r>
          </w:p>
        </w:tc>
        <w:tc>
          <w:tcPr>
            <w:tcW w:w="64" w:type="dxa"/>
            <w:tcBorders/>
            <w:vAlign w:val="bottom"/>
          </w:tcPr>
          <w:p>
            <w:pPr>
              <w:pStyle w:val="TableContents"/>
              <w:bidi w:val="0"/>
              <w:spacing w:before="0" w:after="283"/>
              <w:jc w:val="left"/>
              <w:rPr/>
            </w:pPr>
            <w:r>
              <w:rPr/>
              <w:t> </w:t>
            </w:r>
          </w:p>
        </w:tc>
      </w:tr>
      <w:tr>
        <w:trPr/>
        <w:tc>
          <w:tcPr>
            <w:tcW w:w="338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48" w:type="dxa"/>
            <w:gridSpan w:val="2"/>
            <w:tcBorders/>
            <w:vAlign w:val="bottom"/>
          </w:tcPr>
          <w:p>
            <w:pPr>
              <w:pStyle w:val="TableContents"/>
              <w:bidi w:val="0"/>
              <w:spacing w:before="0" w:after="283"/>
              <w:jc w:val="center"/>
              <w:rPr>
                <w:b/>
              </w:rPr>
            </w:pPr>
            <w:r>
              <w:rPr>
                <w:b/>
              </w:rPr>
              <w:t>£</w:t>
            </w:r>
          </w:p>
        </w:tc>
        <w:tc>
          <w:tcPr>
            <w:tcW w:w="8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948" w:type="dxa"/>
            <w:gridSpan w:val="2"/>
            <w:tcBorders/>
            <w:vAlign w:val="bottom"/>
          </w:tcPr>
          <w:p>
            <w:pPr>
              <w:pStyle w:val="TableContents"/>
              <w:bidi w:val="0"/>
              <w:spacing w:before="0" w:after="283"/>
              <w:jc w:val="center"/>
              <w:rPr>
                <w:b/>
              </w:rPr>
            </w:pPr>
            <w:r>
              <w:rPr>
                <w:b/>
              </w:rPr>
              <w:t>£</w:t>
            </w:r>
          </w:p>
        </w:tc>
        <w:tc>
          <w:tcPr>
            <w:tcW w:w="64" w:type="dxa"/>
            <w:tcBorders/>
            <w:vAlign w:val="bottom"/>
          </w:tcPr>
          <w:p>
            <w:pPr>
              <w:pStyle w:val="TableContents"/>
              <w:bidi w:val="0"/>
              <w:spacing w:before="0" w:after="283"/>
              <w:jc w:val="left"/>
              <w:rPr/>
            </w:pPr>
            <w:r>
              <w:rPr/>
              <w:t> </w:t>
            </w:r>
          </w:p>
        </w:tc>
      </w:tr>
      <w:tr>
        <w:trPr/>
        <w:tc>
          <w:tcPr>
            <w:tcW w:w="33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NUC-7738</w:t>
            </w:r>
          </w:p>
        </w:tc>
        <w:tc>
          <w:tcPr>
            <w:tcW w:w="14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762" w:type="dxa"/>
            <w:tcBorders/>
            <w:shd w:fill="CCEEFF" w:val="clear"/>
            <w:vAlign w:val="bottom"/>
          </w:tcPr>
          <w:p>
            <w:pPr>
              <w:pStyle w:val="TableContents"/>
              <w:bidi w:val="0"/>
              <w:spacing w:before="0" w:after="283"/>
              <w:jc w:val="right"/>
              <w:rPr/>
            </w:pPr>
            <w:r>
              <w:rPr/>
              <w:t>4,278</w:t>
            </w:r>
          </w:p>
        </w:tc>
        <w:tc>
          <w:tcPr>
            <w:tcW w:w="8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763" w:type="dxa"/>
            <w:tcBorders/>
            <w:shd w:fill="CCEEFF" w:val="clear"/>
            <w:vAlign w:val="bottom"/>
          </w:tcPr>
          <w:p>
            <w:pPr>
              <w:pStyle w:val="TableContents"/>
              <w:bidi w:val="0"/>
              <w:spacing w:before="0" w:after="283"/>
              <w:jc w:val="right"/>
              <w:rPr/>
            </w:pPr>
            <w:r>
              <w:rPr/>
              <w:t>5,173</w:t>
            </w:r>
          </w:p>
        </w:tc>
        <w:tc>
          <w:tcPr>
            <w:tcW w:w="64" w:type="dxa"/>
            <w:tcBorders/>
            <w:shd w:fill="CCEEFF" w:val="clear"/>
            <w:vAlign w:val="bottom"/>
          </w:tcPr>
          <w:p>
            <w:pPr>
              <w:pStyle w:val="TableContents"/>
              <w:bidi w:val="0"/>
              <w:spacing w:before="0" w:after="283"/>
              <w:jc w:val="left"/>
              <w:rPr/>
            </w:pPr>
            <w:r>
              <w:rPr/>
              <w:t> </w:t>
            </w:r>
          </w:p>
        </w:tc>
      </w:tr>
      <w:tr>
        <w:trPr/>
        <w:tc>
          <w:tcPr>
            <w:tcW w:w="3382" w:type="dxa"/>
            <w:tcBorders/>
          </w:tcPr>
          <w:p>
            <w:pPr>
              <w:pStyle w:val="TableContents"/>
              <w:bidi w:val="0"/>
              <w:spacing w:before="0" w:after="0"/>
              <w:jc w:val="left"/>
              <w:rPr>
                <w:rFonts w:ascii="Times New Roman" w:hAnsi="Times New Roman"/>
                <w:sz w:val="20"/>
              </w:rPr>
            </w:pPr>
            <w:r>
              <w:rPr>
                <w:rFonts w:ascii="Times New Roman" w:hAnsi="Times New Roman"/>
                <w:sz w:val="20"/>
              </w:rPr>
              <w:t>NUC-3373</w:t>
            </w:r>
          </w:p>
        </w:tc>
        <w:tc>
          <w:tcPr>
            <w:tcW w:w="14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762" w:type="dxa"/>
            <w:tcBorders/>
            <w:vAlign w:val="bottom"/>
          </w:tcPr>
          <w:p>
            <w:pPr>
              <w:pStyle w:val="TableContents"/>
              <w:bidi w:val="0"/>
              <w:spacing w:before="0" w:after="283"/>
              <w:jc w:val="right"/>
              <w:rPr/>
            </w:pPr>
            <w:r>
              <w:rPr/>
              <w:t>731</w:t>
            </w:r>
          </w:p>
        </w:tc>
        <w:tc>
          <w:tcPr>
            <w:tcW w:w="8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763" w:type="dxa"/>
            <w:tcBorders/>
            <w:vAlign w:val="bottom"/>
          </w:tcPr>
          <w:p>
            <w:pPr>
              <w:pStyle w:val="TableContents"/>
              <w:bidi w:val="0"/>
              <w:spacing w:before="0" w:after="283"/>
              <w:jc w:val="right"/>
              <w:rPr/>
            </w:pPr>
            <w:r>
              <w:rPr/>
              <w:t>3,171</w:t>
            </w:r>
          </w:p>
        </w:tc>
        <w:tc>
          <w:tcPr>
            <w:tcW w:w="64" w:type="dxa"/>
            <w:tcBorders/>
            <w:vAlign w:val="bottom"/>
          </w:tcPr>
          <w:p>
            <w:pPr>
              <w:pStyle w:val="TableContents"/>
              <w:bidi w:val="0"/>
              <w:spacing w:before="0" w:after="283"/>
              <w:jc w:val="left"/>
              <w:rPr/>
            </w:pPr>
            <w:r>
              <w:rPr/>
              <w:t> </w:t>
            </w:r>
          </w:p>
        </w:tc>
      </w:tr>
      <w:tr>
        <w:trPr/>
        <w:tc>
          <w:tcPr>
            <w:tcW w:w="33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Acelarin</w:t>
            </w:r>
          </w:p>
        </w:tc>
        <w:tc>
          <w:tcPr>
            <w:tcW w:w="14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762" w:type="dxa"/>
            <w:tcBorders/>
            <w:shd w:fill="CCEEFF" w:val="clear"/>
            <w:vAlign w:val="bottom"/>
          </w:tcPr>
          <w:p>
            <w:pPr>
              <w:pStyle w:val="TableContents"/>
              <w:bidi w:val="0"/>
              <w:spacing w:before="0" w:after="283"/>
              <w:jc w:val="right"/>
              <w:rPr/>
            </w:pPr>
            <w:r>
              <w:rPr/>
              <w:t>56</w:t>
            </w:r>
          </w:p>
        </w:tc>
        <w:tc>
          <w:tcPr>
            <w:tcW w:w="8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763" w:type="dxa"/>
            <w:tcBorders/>
            <w:shd w:fill="CCEEFF" w:val="clear"/>
            <w:vAlign w:val="bottom"/>
          </w:tcPr>
          <w:p>
            <w:pPr>
              <w:pStyle w:val="TableContents"/>
              <w:bidi w:val="0"/>
              <w:spacing w:before="0" w:after="283"/>
              <w:jc w:val="right"/>
              <w:rPr/>
            </w:pPr>
            <w:r>
              <w:rPr/>
              <w:t>163</w:t>
            </w:r>
          </w:p>
        </w:tc>
        <w:tc>
          <w:tcPr>
            <w:tcW w:w="64" w:type="dxa"/>
            <w:tcBorders/>
            <w:shd w:fill="CCEEFF" w:val="clear"/>
            <w:vAlign w:val="bottom"/>
          </w:tcPr>
          <w:p>
            <w:pPr>
              <w:pStyle w:val="TableContents"/>
              <w:bidi w:val="0"/>
              <w:spacing w:before="0" w:after="283"/>
              <w:jc w:val="left"/>
              <w:rPr/>
            </w:pPr>
            <w:r>
              <w:rPr/>
              <w:t> </w:t>
            </w:r>
          </w:p>
        </w:tc>
      </w:tr>
      <w:tr>
        <w:trPr/>
        <w:tc>
          <w:tcPr>
            <w:tcW w:w="3382"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4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762" w:type="dxa"/>
            <w:tcBorders/>
            <w:vAlign w:val="bottom"/>
          </w:tcPr>
          <w:p>
            <w:pPr>
              <w:pStyle w:val="TableContents"/>
              <w:bidi w:val="0"/>
              <w:spacing w:before="0" w:after="283"/>
              <w:jc w:val="right"/>
              <w:rPr/>
            </w:pPr>
            <w:r>
              <w:rPr/>
              <w:t>398</w:t>
            </w:r>
          </w:p>
        </w:tc>
        <w:tc>
          <w:tcPr>
            <w:tcW w:w="8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763" w:type="dxa"/>
            <w:tcBorders/>
            <w:vAlign w:val="bottom"/>
          </w:tcPr>
          <w:p>
            <w:pPr>
              <w:pStyle w:val="TableContents"/>
              <w:bidi w:val="0"/>
              <w:spacing w:before="0" w:after="283"/>
              <w:jc w:val="right"/>
              <w:rPr/>
            </w:pPr>
            <w:r>
              <w:rPr/>
              <w:t>322</w:t>
            </w:r>
          </w:p>
        </w:tc>
        <w:tc>
          <w:tcPr>
            <w:tcW w:w="64" w:type="dxa"/>
            <w:tcBorders/>
            <w:vAlign w:val="bottom"/>
          </w:tcPr>
          <w:p>
            <w:pPr>
              <w:pStyle w:val="TableContents"/>
              <w:bidi w:val="0"/>
              <w:spacing w:before="0" w:after="283"/>
              <w:jc w:val="left"/>
              <w:rPr/>
            </w:pPr>
            <w:r>
              <w:rPr/>
              <w:t> </w:t>
            </w:r>
          </w:p>
        </w:tc>
      </w:tr>
      <w:tr>
        <w:trPr/>
        <w:tc>
          <w:tcPr>
            <w:tcW w:w="338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762" w:type="dxa"/>
            <w:tcBorders/>
            <w:vAlign w:val="bottom"/>
          </w:tcPr>
          <w:p>
            <w:pPr>
              <w:pStyle w:val="TableContents"/>
              <w:pBdr>
                <w:top w:val="single" w:sz="2" w:space="1" w:color="000000"/>
              </w:pBdr>
              <w:bidi w:val="0"/>
              <w:spacing w:before="0" w:after="0"/>
              <w:jc w:val="left"/>
              <w:rPr/>
            </w:pPr>
            <w:r>
              <w:rPr/>
              <w:t> </w:t>
            </w:r>
          </w:p>
        </w:tc>
        <w:tc>
          <w:tcPr>
            <w:tcW w:w="80"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763"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382" w:type="dxa"/>
            <w:tcBorders/>
            <w:shd w:fill="CCEEFF" w:val="clear"/>
          </w:tcPr>
          <w:p>
            <w:pPr>
              <w:pStyle w:val="TableContents"/>
              <w:bidi w:val="0"/>
              <w:spacing w:before="0" w:after="283"/>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762" w:type="dxa"/>
            <w:tcBorders/>
            <w:shd w:fill="CCEEFF" w:val="clear"/>
            <w:vAlign w:val="bottom"/>
          </w:tcPr>
          <w:p>
            <w:pPr>
              <w:pStyle w:val="TableContents"/>
              <w:bidi w:val="0"/>
              <w:spacing w:before="0" w:after="283"/>
              <w:jc w:val="right"/>
              <w:rPr>
                <w:b/>
              </w:rPr>
            </w:pPr>
            <w:r>
              <w:rPr>
                <w:b/>
              </w:rPr>
              <w:t>5,463</w:t>
            </w:r>
          </w:p>
        </w:tc>
        <w:tc>
          <w:tcPr>
            <w:tcW w:w="8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763" w:type="dxa"/>
            <w:tcBorders/>
            <w:shd w:fill="CCEEFF" w:val="clear"/>
            <w:vAlign w:val="bottom"/>
          </w:tcPr>
          <w:p>
            <w:pPr>
              <w:pStyle w:val="TableContents"/>
              <w:bidi w:val="0"/>
              <w:spacing w:before="0" w:after="283"/>
              <w:jc w:val="right"/>
              <w:rPr>
                <w:b/>
              </w:rPr>
            </w:pPr>
            <w:r>
              <w:rPr>
                <w:b/>
              </w:rPr>
              <w:t>8,829</w:t>
            </w:r>
          </w:p>
        </w:tc>
        <w:tc>
          <w:tcPr>
            <w:tcW w:w="64" w:type="dxa"/>
            <w:tcBorders/>
            <w:shd w:fill="CCEEFF" w:val="clear"/>
            <w:vAlign w:val="bottom"/>
          </w:tcPr>
          <w:p>
            <w:pPr>
              <w:pStyle w:val="TableContents"/>
              <w:bidi w:val="0"/>
              <w:spacing w:before="0" w:after="283"/>
              <w:jc w:val="left"/>
              <w:rPr/>
            </w:pPr>
            <w:r>
              <w:rPr/>
              <w:t> </w:t>
            </w:r>
          </w:p>
        </w:tc>
      </w:tr>
      <w:tr>
        <w:trPr/>
        <w:tc>
          <w:tcPr>
            <w:tcW w:w="338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double" w:sz="6" w:space="1" w:color="000000"/>
              </w:pBdr>
              <w:bidi w:val="0"/>
              <w:spacing w:before="0" w:after="0"/>
              <w:jc w:val="left"/>
              <w:rPr/>
            </w:pPr>
            <w:r>
              <w:rPr/>
              <w:t> </w:t>
            </w:r>
          </w:p>
        </w:tc>
        <w:tc>
          <w:tcPr>
            <w:tcW w:w="1762" w:type="dxa"/>
            <w:tcBorders/>
            <w:vAlign w:val="bottom"/>
          </w:tcPr>
          <w:p>
            <w:pPr>
              <w:pStyle w:val="TableContents"/>
              <w:pBdr>
                <w:top w:val="double" w:sz="6" w:space="1" w:color="000000"/>
              </w:pBdr>
              <w:bidi w:val="0"/>
              <w:spacing w:before="0" w:after="0"/>
              <w:jc w:val="left"/>
              <w:rPr/>
            </w:pPr>
            <w:r>
              <w:rPr/>
              <w:t> </w:t>
            </w:r>
          </w:p>
        </w:tc>
        <w:tc>
          <w:tcPr>
            <w:tcW w:w="80"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double" w:sz="6" w:space="1" w:color="000000"/>
              </w:pBdr>
              <w:bidi w:val="0"/>
              <w:spacing w:before="0" w:after="0"/>
              <w:jc w:val="left"/>
              <w:rPr/>
            </w:pPr>
            <w:r>
              <w:rPr/>
              <w:t> </w:t>
            </w:r>
          </w:p>
        </w:tc>
        <w:tc>
          <w:tcPr>
            <w:tcW w:w="1763"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Administrative expenses were £2.8 million for the six months ended June 30, 2026 as compared to £5.6 million for the six months ended June 30, 2025. </w:t>
      </w:r>
    </w:p>
    <w:p>
      <w:pPr>
        <w:pStyle w:val="TextBody"/>
        <w:bidi w:val="0"/>
        <w:spacing w:before="240" w:after="0"/>
        <w:jc w:val="left"/>
        <w:rPr>
          <w:rFonts w:ascii="Times New Roman" w:hAnsi="Times New Roman"/>
          <w:sz w:val="20"/>
        </w:rPr>
      </w:pPr>
      <w:r>
        <w:rPr>
          <w:rFonts w:ascii="Times New Roman" w:hAnsi="Times New Roman"/>
          <w:sz w:val="20"/>
        </w:rPr>
        <w:t xml:space="preserve">In the six months ended June 30,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Share-based payment expenses decreased by £1.4 million primarily due to the lower fair value of options granted in the six months ended June 30, 2026 compared with the six months ended June 30, 2025;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administrative expenses decreased by £1.4 million principally due to professional fees related to the issue of warrants in the six months ended June 30, 2025, with no such cost in the six months ended June 30, 2026.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Net Foreign Exchange Gains (Losses) </w:t>
      </w:r>
    </w:p>
    <w:p>
      <w:pPr>
        <w:pStyle w:val="TextBody"/>
        <w:bidi w:val="0"/>
        <w:spacing w:before="120" w:after="0"/>
        <w:jc w:val="left"/>
        <w:rPr>
          <w:rFonts w:ascii="Times New Roman" w:hAnsi="Times New Roman"/>
          <w:sz w:val="20"/>
        </w:rPr>
      </w:pPr>
      <w:r>
        <w:rPr>
          <w:rFonts w:ascii="Times New Roman" w:hAnsi="Times New Roman"/>
          <w:sz w:val="20"/>
        </w:rPr>
        <w:t xml:space="preserve">For the six months ended June 30, 2026, we reported a net foreign exchange gain of £0.3 million as compared to a net foreign exchange loss of £0.3 million for the six months ended June 30, 2025. In the six months ended June 30, 2026, the gain arose from cash balances held in U.S. dollars and the U.S. dollar appreciating relative to the U.K. pound sterling. Conversely in the six months ended June 30, 2025, the loss arose from cash balances held in U.S. dollars and the U.S. dollar depreciating relative to the U.K. pound sterling.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Finance Income </w:t>
      </w:r>
    </w:p>
    <w:p>
      <w:pPr>
        <w:pStyle w:val="TextBody"/>
        <w:bidi w:val="0"/>
        <w:spacing w:before="120" w:after="0"/>
        <w:jc w:val="left"/>
        <w:rPr>
          <w:rFonts w:ascii="Times New Roman" w:hAnsi="Times New Roman"/>
          <w:sz w:val="20"/>
        </w:rPr>
      </w:pPr>
      <w:r>
        <w:rPr>
          <w:rFonts w:ascii="Times New Roman" w:hAnsi="Times New Roman"/>
          <w:sz w:val="20"/>
        </w:rPr>
        <w:t xml:space="preserve">Finance income represents bank interest and was £0.3 million for the six months ended June 30, 2026 and £0.1 million for the six months ended June 30, 2025. The increase in bank interest resulted from higher cash deposits. </w:t>
      </w:r>
    </w:p>
    <w:p>
      <w:pPr>
        <w:pStyle w:val="TextBody"/>
        <w:bidi w:val="0"/>
        <w:spacing w:before="360" w:after="0"/>
        <w:jc w:val="left"/>
        <w:rPr>
          <w:rFonts w:ascii="Times New Roman" w:hAnsi="Times New Roman"/>
          <w:b/>
          <w:i/>
          <w:sz w:val="20"/>
        </w:rPr>
      </w:pPr>
      <w:r>
        <w:rPr>
          <w:rFonts w:ascii="Times New Roman" w:hAnsi="Times New Roman"/>
          <w:b/>
          <w:i/>
          <w:sz w:val="20"/>
        </w:rPr>
        <w:t xml:space="preserve">Finance Expense </w:t>
      </w:r>
    </w:p>
    <w:p>
      <w:pPr>
        <w:pStyle w:val="TextBody"/>
        <w:bidi w:val="0"/>
        <w:spacing w:before="120" w:after="0"/>
        <w:jc w:val="left"/>
        <w:rPr>
          <w:rFonts w:ascii="Times New Roman" w:hAnsi="Times New Roman"/>
          <w:sz w:val="20"/>
        </w:rPr>
      </w:pPr>
      <w:r>
        <w:rPr>
          <w:rFonts w:ascii="Times New Roman" w:hAnsi="Times New Roman"/>
          <w:sz w:val="20"/>
        </w:rPr>
        <w:t xml:space="preserve">Finance expense relates to non-cash revaluation losses from derivative financial instruments being remeasured at fair value through profit or loss and was £nil for the six months ended June 30, 2026 as compared to £12.6 million for the six months ended June 30,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 Credit </w:t>
      </w:r>
    </w:p>
    <w:p>
      <w:pPr>
        <w:pStyle w:val="TextBody"/>
        <w:bidi w:val="0"/>
        <w:spacing w:before="120" w:after="0"/>
        <w:jc w:val="left"/>
        <w:rPr>
          <w:rFonts w:ascii="Times New Roman" w:hAnsi="Times New Roman"/>
          <w:sz w:val="20"/>
        </w:rPr>
      </w:pPr>
      <w:r>
        <w:rPr>
          <w:rFonts w:ascii="Times New Roman" w:hAnsi="Times New Roman"/>
          <w:sz w:val="20"/>
        </w:rPr>
        <w:t xml:space="preserve">The income tax credit for the six months ended June 30, 2026, which is largely composed of U.K. research and development tax credits, amounted to £0.7 million as compared to £0.7 million for the six months ended June 30, 2025.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Liquidity and Capital Resources </w:t>
      </w:r>
    </w:p>
    <w:p>
      <w:pPr>
        <w:pStyle w:val="TextBody"/>
        <w:bidi w:val="0"/>
        <w:spacing w:before="120" w:after="0"/>
        <w:jc w:val="left"/>
        <w:rPr>
          <w:rFonts w:ascii="Times New Roman" w:hAnsi="Times New Roman"/>
          <w:b/>
          <w:i/>
          <w:sz w:val="20"/>
        </w:rPr>
      </w:pPr>
      <w:r>
        <w:rPr>
          <w:rFonts w:ascii="Times New Roman" w:hAnsi="Times New Roman"/>
          <w:b/>
          <w:i/>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Since our inception, we have incurred significant operating losses and negative operating cash flows. We anticipate that we will continue to incur losses for at least the next several years. As a result, we will need additional capital to fund our operations, which we may obtain from additional equity financings, debt financings, research funding, collaborations, contract and grant revenue or other sources.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and December 31, 2025, we had cash and cash equivalents of £19.5 million and £24.3 million, respectively. We do not currently have any approved products and have never generated any revenue from product sales. To date we have financed our operations primarily through the issuances of our equity securities. We expect that our existing cash and cash equivalents will be sufficient to meet our anticipated cash requirements into 2029. However, we may need to raise additional funds if we choose to expand our current development program. </w:t>
      </w:r>
    </w:p>
    <w:p>
      <w:pPr>
        <w:pStyle w:val="TextBody"/>
        <w:bidi w:val="0"/>
        <w:spacing w:before="240" w:after="0"/>
        <w:jc w:val="left"/>
        <w:rPr>
          <w:rFonts w:ascii="Times New Roman" w:hAnsi="Times New Roman"/>
          <w:sz w:val="20"/>
        </w:rPr>
      </w:pPr>
      <w:r>
        <w:rPr>
          <w:rFonts w:ascii="Times New Roman" w:hAnsi="Times New Roman"/>
          <w:sz w:val="20"/>
        </w:rPr>
        <w:t xml:space="preserve">In June 2025, we entered into an ATM sales agreement with A.G.P./Alliance Global Partners, or A.G.P., and Laidlaw &amp; Company (UK) Ltd., or Laidlaw, pursuant to which we may periodically sell ADSs having an aggregate offering price of up to $100.0 million through A.G.P. and Laidlaw acting as our agents. Sales of our ADSs pursuant to this ATM program are subject to certain conditions specified in the sales agreement. Sales under the ATM program are registered on a shelf registration statement on Form F-3 that we filed with the SEC in June 2025, and which permits the offering, issuance and sale by us of up to a maximum aggregate offering price of $150.0 million of our securities, inclusive of our ADSs sold under the ATM program. During the six months ended June 30, 2026 we sold and issued 147,584 ADSs, representing 737,920,000 ordinary shares, under the ATM program, raising gross proceeds of £0.2 million. Subsequent to June 30, 2026 and through the date hereof, we sold and issued 275,712 ADSs, representing 1,378,560,000 ordinary shares, under the ATM program, raising gross proceeds of £0.3 million.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Flows Comparison of the Six Months Ended June 30, 2026 and June 30, 2025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the results of our cash flows for the six months ended June 30, 2026 and 2025.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238"/>
        <w:gridCol w:w="142"/>
        <w:gridCol w:w="165"/>
        <w:gridCol w:w="1775"/>
        <w:gridCol w:w="177"/>
        <w:gridCol w:w="159"/>
        <w:gridCol w:w="164"/>
        <w:gridCol w:w="1776"/>
        <w:gridCol w:w="159"/>
      </w:tblGrid>
      <w:tr>
        <w:trPr/>
        <w:tc>
          <w:tcPr>
            <w:tcW w:w="3238"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3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4216" w:type="dxa"/>
            <w:gridSpan w:val="6"/>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For the Six Months Ended</w:t>
            </w:r>
          </w:p>
          <w:p>
            <w:pPr>
              <w:pStyle w:val="TableContents"/>
              <w:bidi w:val="0"/>
              <w:spacing w:before="0" w:after="20"/>
              <w:jc w:val="center"/>
              <w:rPr>
                <w:rFonts w:ascii="Times New Roman" w:hAnsi="Times New Roman"/>
                <w:b/>
                <w:sz w:val="16"/>
              </w:rPr>
            </w:pPr>
            <w:r>
              <w:rPr>
                <w:rFonts w:ascii="Times New Roman" w:hAnsi="Times New Roman"/>
                <w:b/>
                <w:sz w:val="16"/>
              </w:rPr>
              <w:t>June 30,</w:t>
            </w:r>
          </w:p>
        </w:tc>
        <w:tc>
          <w:tcPr>
            <w:tcW w:w="159" w:type="dxa"/>
            <w:tcBorders/>
            <w:vAlign w:val="bottom"/>
          </w:tcPr>
          <w:p>
            <w:pPr>
              <w:pStyle w:val="TableContents"/>
              <w:bidi w:val="0"/>
              <w:spacing w:before="0" w:after="283"/>
              <w:jc w:val="left"/>
              <w:rPr/>
            </w:pPr>
            <w:r>
              <w:rPr/>
              <w:t> </w:t>
            </w:r>
          </w:p>
        </w:tc>
      </w:tr>
      <w:tr>
        <w:trPr/>
        <w:tc>
          <w:tcPr>
            <w:tcW w:w="323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94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177"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94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159" w:type="dxa"/>
            <w:tcBorders/>
            <w:vAlign w:val="bottom"/>
          </w:tcPr>
          <w:p>
            <w:pPr>
              <w:pStyle w:val="TableContents"/>
              <w:bidi w:val="0"/>
              <w:spacing w:before="0" w:after="283"/>
              <w:jc w:val="left"/>
              <w:rPr/>
            </w:pPr>
            <w:r>
              <w:rPr/>
              <w:t> </w:t>
            </w:r>
          </w:p>
        </w:tc>
      </w:tr>
      <w:tr>
        <w:trPr/>
        <w:tc>
          <w:tcPr>
            <w:tcW w:w="323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4216" w:type="dxa"/>
            <w:gridSpan w:val="6"/>
            <w:tcBorders/>
            <w:vAlign w:val="bottom"/>
          </w:tcPr>
          <w:p>
            <w:pPr>
              <w:pStyle w:val="TableContents"/>
              <w:bidi w:val="0"/>
              <w:spacing w:before="0" w:after="283"/>
              <w:jc w:val="center"/>
              <w:rPr>
                <w:b/>
              </w:rPr>
            </w:pPr>
            <w:r>
              <w:rPr>
                <w:b/>
              </w:rPr>
              <w:t>(unaudited)</w:t>
            </w:r>
          </w:p>
        </w:tc>
        <w:tc>
          <w:tcPr>
            <w:tcW w:w="159" w:type="dxa"/>
            <w:tcBorders/>
            <w:vAlign w:val="bottom"/>
          </w:tcPr>
          <w:p>
            <w:pPr>
              <w:pStyle w:val="TableContents"/>
              <w:bidi w:val="0"/>
              <w:spacing w:before="0" w:after="283"/>
              <w:jc w:val="left"/>
              <w:rPr/>
            </w:pPr>
            <w:r>
              <w:rPr/>
              <w:t> </w:t>
            </w:r>
          </w:p>
        </w:tc>
      </w:tr>
      <w:tr>
        <w:trPr/>
        <w:tc>
          <w:tcPr>
            <w:tcW w:w="323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4216" w:type="dxa"/>
            <w:gridSpan w:val="6"/>
            <w:tcBorders/>
            <w:vAlign w:val="bottom"/>
          </w:tcPr>
          <w:p>
            <w:pPr>
              <w:pStyle w:val="TableContents"/>
              <w:bidi w:val="0"/>
              <w:spacing w:before="0" w:after="283"/>
              <w:jc w:val="center"/>
              <w:rPr>
                <w:b/>
              </w:rPr>
            </w:pPr>
            <w:r>
              <w:rPr>
                <w:b/>
              </w:rPr>
              <w:t>(in thousands)</w:t>
            </w:r>
          </w:p>
        </w:tc>
        <w:tc>
          <w:tcPr>
            <w:tcW w:w="159" w:type="dxa"/>
            <w:tcBorders/>
            <w:vAlign w:val="bottom"/>
          </w:tcPr>
          <w:p>
            <w:pPr>
              <w:pStyle w:val="TableContents"/>
              <w:bidi w:val="0"/>
              <w:spacing w:before="0" w:after="283"/>
              <w:jc w:val="left"/>
              <w:rPr/>
            </w:pPr>
            <w:r>
              <w:rPr/>
              <w:t> </w:t>
            </w:r>
          </w:p>
        </w:tc>
      </w:tr>
      <w:tr>
        <w:trPr/>
        <w:tc>
          <w:tcPr>
            <w:tcW w:w="323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940" w:type="dxa"/>
            <w:gridSpan w:val="2"/>
            <w:tcBorders/>
            <w:vAlign w:val="bottom"/>
          </w:tcPr>
          <w:p>
            <w:pPr>
              <w:pStyle w:val="TableContents"/>
              <w:bidi w:val="0"/>
              <w:spacing w:before="0" w:after="283"/>
              <w:jc w:val="center"/>
              <w:rPr>
                <w:b/>
              </w:rPr>
            </w:pPr>
            <w:r>
              <w:rPr>
                <w:b/>
              </w:rPr>
              <w:t>£</w:t>
            </w:r>
          </w:p>
        </w:tc>
        <w:tc>
          <w:tcPr>
            <w:tcW w:w="177"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940" w:type="dxa"/>
            <w:gridSpan w:val="2"/>
            <w:tcBorders/>
            <w:vAlign w:val="bottom"/>
          </w:tcPr>
          <w:p>
            <w:pPr>
              <w:pStyle w:val="TableContents"/>
              <w:bidi w:val="0"/>
              <w:spacing w:before="0" w:after="283"/>
              <w:jc w:val="center"/>
              <w:rPr>
                <w:b/>
              </w:rPr>
            </w:pPr>
            <w:r>
              <w:rPr>
                <w:b/>
              </w:rPr>
              <w:t>£</w:t>
            </w:r>
          </w:p>
        </w:tc>
        <w:tc>
          <w:tcPr>
            <w:tcW w:w="159" w:type="dxa"/>
            <w:tcBorders/>
            <w:vAlign w:val="bottom"/>
          </w:tcPr>
          <w:p>
            <w:pPr>
              <w:pStyle w:val="TableContents"/>
              <w:bidi w:val="0"/>
              <w:spacing w:before="0" w:after="283"/>
              <w:jc w:val="left"/>
              <w:rPr/>
            </w:pPr>
            <w:r>
              <w:rPr/>
              <w:t> </w:t>
            </w:r>
          </w:p>
        </w:tc>
      </w:tr>
      <w:tr>
        <w:trPr/>
        <w:tc>
          <w:tcPr>
            <w:tcW w:w="32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142"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775" w:type="dxa"/>
            <w:tcBorders/>
            <w:shd w:fill="CCEEFF" w:val="clear"/>
            <w:vAlign w:val="bottom"/>
          </w:tcPr>
          <w:p>
            <w:pPr>
              <w:pStyle w:val="TableContents"/>
              <w:bidi w:val="0"/>
              <w:spacing w:before="0" w:after="283"/>
              <w:jc w:val="right"/>
              <w:rPr/>
            </w:pPr>
            <w:r>
              <w:rPr/>
              <w:t>(5,245</w:t>
            </w:r>
          </w:p>
        </w:tc>
        <w:tc>
          <w:tcPr>
            <w:tcW w:w="177"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76" w:type="dxa"/>
            <w:tcBorders/>
            <w:shd w:fill="CCEEFF" w:val="clear"/>
            <w:vAlign w:val="bottom"/>
          </w:tcPr>
          <w:p>
            <w:pPr>
              <w:pStyle w:val="TableContents"/>
              <w:bidi w:val="0"/>
              <w:spacing w:before="0" w:after="283"/>
              <w:jc w:val="right"/>
              <w:rPr/>
            </w:pPr>
            <w:r>
              <w:rPr/>
              <w:t>(7,595</w:t>
            </w:r>
          </w:p>
        </w:tc>
        <w:tc>
          <w:tcPr>
            <w:tcW w:w="159" w:type="dxa"/>
            <w:tcBorders/>
            <w:shd w:fill="CCEEFF" w:val="clear"/>
            <w:vAlign w:val="bottom"/>
          </w:tcPr>
          <w:p>
            <w:pPr>
              <w:pStyle w:val="TableContents"/>
              <w:bidi w:val="0"/>
              <w:spacing w:before="0" w:after="283"/>
              <w:jc w:val="left"/>
              <w:rPr/>
            </w:pPr>
            <w:r>
              <w:rPr/>
              <w:t>) </w:t>
            </w:r>
          </w:p>
        </w:tc>
      </w:tr>
      <w:tr>
        <w:trPr/>
        <w:tc>
          <w:tcPr>
            <w:tcW w:w="3238" w:type="dxa"/>
            <w:tcBorders/>
          </w:tcPr>
          <w:p>
            <w:pPr>
              <w:pStyle w:val="TableContents"/>
              <w:bidi w:val="0"/>
              <w:spacing w:before="0" w:after="0"/>
              <w:jc w:val="left"/>
              <w:rPr>
                <w:rFonts w:ascii="Times New Roman" w:hAnsi="Times New Roman"/>
                <w:sz w:val="20"/>
              </w:rPr>
            </w:pPr>
            <w:r>
              <w:rPr>
                <w:rFonts w:ascii="Times New Roman" w:hAnsi="Times New Roman"/>
                <w:sz w:val="20"/>
              </w:rPr>
              <w:t>Net cash from (used in) investing activities</w:t>
            </w:r>
          </w:p>
        </w:tc>
        <w:tc>
          <w:tcPr>
            <w:tcW w:w="142"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775" w:type="dxa"/>
            <w:tcBorders/>
            <w:vAlign w:val="bottom"/>
          </w:tcPr>
          <w:p>
            <w:pPr>
              <w:pStyle w:val="TableContents"/>
              <w:bidi w:val="0"/>
              <w:spacing w:before="0" w:after="283"/>
              <w:jc w:val="right"/>
              <w:rPr/>
            </w:pPr>
            <w:r>
              <w:rPr/>
              <w:t>175</w:t>
            </w:r>
          </w:p>
        </w:tc>
        <w:tc>
          <w:tcPr>
            <w:tcW w:w="177"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776" w:type="dxa"/>
            <w:tcBorders/>
            <w:vAlign w:val="bottom"/>
          </w:tcPr>
          <w:p>
            <w:pPr>
              <w:pStyle w:val="TableContents"/>
              <w:bidi w:val="0"/>
              <w:spacing w:before="0" w:after="283"/>
              <w:jc w:val="right"/>
              <w:rPr/>
            </w:pPr>
            <w:r>
              <w:rPr/>
              <w:t>(39</w:t>
            </w:r>
          </w:p>
        </w:tc>
        <w:tc>
          <w:tcPr>
            <w:tcW w:w="159" w:type="dxa"/>
            <w:tcBorders/>
            <w:vAlign w:val="bottom"/>
          </w:tcPr>
          <w:p>
            <w:pPr>
              <w:pStyle w:val="TableContents"/>
              <w:bidi w:val="0"/>
              <w:spacing w:before="0" w:after="283"/>
              <w:jc w:val="left"/>
              <w:rPr/>
            </w:pPr>
            <w:r>
              <w:rPr/>
              <w:t>) </w:t>
            </w:r>
          </w:p>
        </w:tc>
      </w:tr>
      <w:tr>
        <w:trPr/>
        <w:tc>
          <w:tcPr>
            <w:tcW w:w="32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from financing activities</w:t>
            </w:r>
          </w:p>
        </w:tc>
        <w:tc>
          <w:tcPr>
            <w:tcW w:w="142"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775" w:type="dxa"/>
            <w:tcBorders/>
            <w:shd w:fill="CCEEFF" w:val="clear"/>
            <w:vAlign w:val="bottom"/>
          </w:tcPr>
          <w:p>
            <w:pPr>
              <w:pStyle w:val="TableContents"/>
              <w:bidi w:val="0"/>
              <w:spacing w:before="0" w:after="283"/>
              <w:jc w:val="right"/>
              <w:rPr/>
            </w:pPr>
            <w:r>
              <w:rPr/>
              <w:t>44</w:t>
            </w:r>
          </w:p>
        </w:tc>
        <w:tc>
          <w:tcPr>
            <w:tcW w:w="177"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76" w:type="dxa"/>
            <w:tcBorders/>
            <w:shd w:fill="CCEEFF" w:val="clear"/>
            <w:vAlign w:val="bottom"/>
          </w:tcPr>
          <w:p>
            <w:pPr>
              <w:pStyle w:val="TableContents"/>
              <w:bidi w:val="0"/>
              <w:spacing w:before="0" w:after="283"/>
              <w:jc w:val="right"/>
              <w:rPr/>
            </w:pPr>
            <w:r>
              <w:rPr/>
              <w:t>9,761</w:t>
            </w:r>
          </w:p>
        </w:tc>
        <w:tc>
          <w:tcPr>
            <w:tcW w:w="159" w:type="dxa"/>
            <w:tcBorders/>
            <w:shd w:fill="CCEEFF" w:val="clear"/>
            <w:vAlign w:val="bottom"/>
          </w:tcPr>
          <w:p>
            <w:pPr>
              <w:pStyle w:val="TableContents"/>
              <w:bidi w:val="0"/>
              <w:spacing w:before="0" w:after="283"/>
              <w:jc w:val="left"/>
              <w:rPr/>
            </w:pPr>
            <w:r>
              <w:rPr/>
              <w:t> </w:t>
            </w:r>
          </w:p>
        </w:tc>
      </w:tr>
      <w:tr>
        <w:trPr/>
        <w:tc>
          <w:tcPr>
            <w:tcW w:w="3238"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775" w:type="dxa"/>
            <w:tcBorders/>
            <w:vAlign w:val="bottom"/>
          </w:tcPr>
          <w:p>
            <w:pPr>
              <w:pStyle w:val="TableContents"/>
              <w:pBdr>
                <w:top w:val="single" w:sz="2" w:space="1" w:color="000000"/>
              </w:pBdr>
              <w:bidi w:val="0"/>
              <w:spacing w:before="0" w:after="0"/>
              <w:jc w:val="left"/>
              <w:rPr/>
            </w:pPr>
            <w:r>
              <w:rPr/>
              <w:t> </w:t>
            </w:r>
          </w:p>
        </w:tc>
        <w:tc>
          <w:tcPr>
            <w:tcW w:w="177"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177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238" w:type="dxa"/>
            <w:tcBorders/>
          </w:tcPr>
          <w:p>
            <w:pPr>
              <w:pStyle w:val="TableContents"/>
              <w:bidi w:val="0"/>
              <w:spacing w:before="0" w:after="0"/>
              <w:jc w:val="left"/>
              <w:rPr>
                <w:rFonts w:ascii="Times New Roman" w:hAnsi="Times New Roman"/>
                <w:b/>
                <w:sz w:val="20"/>
              </w:rPr>
            </w:pPr>
            <w:r>
              <w:rPr>
                <w:rFonts w:ascii="Times New Roman" w:hAnsi="Times New Roman"/>
                <w:b/>
                <w:sz w:val="20"/>
              </w:rPr>
              <w:t>Net (decrease) increase in cash and cash equivalents</w:t>
            </w:r>
          </w:p>
        </w:tc>
        <w:tc>
          <w:tcPr>
            <w:tcW w:w="142"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775" w:type="dxa"/>
            <w:tcBorders/>
            <w:vAlign w:val="bottom"/>
          </w:tcPr>
          <w:p>
            <w:pPr>
              <w:pStyle w:val="TableContents"/>
              <w:bidi w:val="0"/>
              <w:spacing w:before="0" w:after="283"/>
              <w:jc w:val="right"/>
              <w:rPr>
                <w:b/>
              </w:rPr>
            </w:pPr>
            <w:r>
              <w:rPr>
                <w:b/>
              </w:rPr>
              <w:t>(5,026</w:t>
            </w:r>
          </w:p>
        </w:tc>
        <w:tc>
          <w:tcPr>
            <w:tcW w:w="177" w:type="dxa"/>
            <w:tcBorders/>
            <w:vAlign w:val="bottom"/>
          </w:tcPr>
          <w:p>
            <w:pPr>
              <w:pStyle w:val="TableContents"/>
              <w:bidi w:val="0"/>
              <w:spacing w:before="0" w:after="283"/>
              <w:jc w:val="left"/>
              <w:rPr>
                <w:b/>
              </w:rPr>
            </w:pPr>
            <w:r>
              <w:rPr>
                <w:b/>
              </w:rPr>
              <w:t>) </w:t>
            </w:r>
          </w:p>
        </w:tc>
        <w:tc>
          <w:tcPr>
            <w:tcW w:w="159"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776" w:type="dxa"/>
            <w:tcBorders/>
            <w:vAlign w:val="bottom"/>
          </w:tcPr>
          <w:p>
            <w:pPr>
              <w:pStyle w:val="TableContents"/>
              <w:bidi w:val="0"/>
              <w:spacing w:before="0" w:after="283"/>
              <w:jc w:val="right"/>
              <w:rPr>
                <w:b/>
              </w:rPr>
            </w:pPr>
            <w:r>
              <w:rPr>
                <w:b/>
              </w:rPr>
              <w:t>2,127</w:t>
            </w:r>
          </w:p>
        </w:tc>
        <w:tc>
          <w:tcPr>
            <w:tcW w:w="159" w:type="dxa"/>
            <w:tcBorders/>
            <w:vAlign w:val="bottom"/>
          </w:tcPr>
          <w:p>
            <w:pPr>
              <w:pStyle w:val="TableContents"/>
              <w:bidi w:val="0"/>
              <w:spacing w:before="0" w:after="283"/>
              <w:jc w:val="left"/>
              <w:rPr/>
            </w:pPr>
            <w:r>
              <w:rPr/>
              <w:t> </w:t>
            </w:r>
          </w:p>
        </w:tc>
      </w:tr>
      <w:tr>
        <w:trPr/>
        <w:tc>
          <w:tcPr>
            <w:tcW w:w="3238"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1775" w:type="dxa"/>
            <w:tcBorders/>
            <w:vAlign w:val="bottom"/>
          </w:tcPr>
          <w:p>
            <w:pPr>
              <w:pStyle w:val="TableContents"/>
              <w:pBdr>
                <w:top w:val="double" w:sz="6" w:space="1" w:color="000000"/>
              </w:pBdr>
              <w:bidi w:val="0"/>
              <w:spacing w:before="0" w:after="0"/>
              <w:jc w:val="left"/>
              <w:rPr/>
            </w:pPr>
            <w:r>
              <w:rPr/>
              <w:t> </w:t>
            </w:r>
          </w:p>
        </w:tc>
        <w:tc>
          <w:tcPr>
            <w:tcW w:w="177"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double" w:sz="6" w:space="1" w:color="000000"/>
              </w:pBdr>
              <w:bidi w:val="0"/>
              <w:spacing w:before="0" w:after="0"/>
              <w:jc w:val="left"/>
              <w:rPr/>
            </w:pPr>
            <w:r>
              <w:rPr/>
              <w:t> </w:t>
            </w:r>
          </w:p>
        </w:tc>
        <w:tc>
          <w:tcPr>
            <w:tcW w:w="1776"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used in operating activities was £5.2 million for the six months ended June 30, 2026 as compared to £7.6 million for the six months ended June 30, 2025, a net decrease in cash outflows of £2.4 million. </w:t>
      </w:r>
    </w:p>
    <w:p>
      <w:pPr>
        <w:pStyle w:val="TextBody"/>
        <w:bidi w:val="0"/>
        <w:spacing w:before="240" w:after="0"/>
        <w:jc w:val="left"/>
        <w:rPr>
          <w:rFonts w:ascii="Times New Roman" w:hAnsi="Times New Roman"/>
          <w:sz w:val="20"/>
        </w:rPr>
      </w:pPr>
      <w:r>
        <w:rPr>
          <w:rFonts w:ascii="Times New Roman" w:hAnsi="Times New Roman"/>
          <w:sz w:val="20"/>
        </w:rPr>
        <w:t xml:space="preserve">In the six months ended June 30,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Operating loss cash outflows were lower by £0.7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Working capital inflows were £31,000 as compared to an outflow of £2.6 million in the six months ended June 30, 2025;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tax refund was received in the six months ended June 30, 2026 compared to a receipt of £1.0 million in the six months ended June 30, 2025.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from investing activities was £0.2 million for the six months ended June 30, 2026 as compared to net cash used in investing activities of £39,000 for the six months ended June 30, 2025. </w:t>
      </w:r>
    </w:p>
    <w:p>
      <w:pPr>
        <w:pStyle w:val="TextBody"/>
        <w:bidi w:val="0"/>
        <w:spacing w:before="240" w:after="0"/>
        <w:jc w:val="left"/>
        <w:rPr>
          <w:rFonts w:ascii="Times New Roman" w:hAnsi="Times New Roman"/>
          <w:sz w:val="20"/>
        </w:rPr>
      </w:pPr>
      <w:r>
        <w:rPr>
          <w:rFonts w:ascii="Times New Roman" w:hAnsi="Times New Roman"/>
          <w:sz w:val="20"/>
        </w:rPr>
        <w:t xml:space="preserve">In the six months ended June 30, 2026, interest income was higher by £0.2 million.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provided by financing activities was £44,000 for the six months ended June 30, 2026, compared with £9.8 million for the six months ended June 30, 2025. </w:t>
      </w:r>
    </w:p>
    <w:p>
      <w:pPr>
        <w:pStyle w:val="TextBody"/>
        <w:bidi w:val="0"/>
        <w:spacing w:before="240" w:after="0"/>
        <w:jc w:val="left"/>
        <w:rPr>
          <w:rFonts w:ascii="Times New Roman" w:hAnsi="Times New Roman"/>
          <w:sz w:val="20"/>
        </w:rPr>
      </w:pPr>
      <w:r>
        <w:rPr>
          <w:rFonts w:ascii="Times New Roman" w:hAnsi="Times New Roman"/>
          <w:sz w:val="20"/>
        </w:rPr>
        <w:t xml:space="preserve">In the six months ended June 30,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proceeds were received from the issue or exercise of warrants, compared with proceeds of £8.9 million in the six months ended June 30, 2025;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Net proceeds from the issue of share capital decreased to £0.1 million compared with £0.9 million in the six months ended June 30, 2025.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Operating and Capital Expenditure Requirements </w:t>
      </w:r>
    </w:p>
    <w:p>
      <w:pPr>
        <w:pStyle w:val="TextBody"/>
        <w:bidi w:val="0"/>
        <w:spacing w:before="120" w:after="0"/>
        <w:jc w:val="left"/>
        <w:rPr>
          <w:rFonts w:ascii="Times New Roman" w:hAnsi="Times New Roman"/>
          <w:sz w:val="20"/>
        </w:rPr>
      </w:pPr>
      <w:r>
        <w:rPr>
          <w:rFonts w:ascii="Times New Roman" w:hAnsi="Times New Roman"/>
          <w:sz w:val="20"/>
        </w:rPr>
        <w:t xml:space="preserve">We have not achieved profitability on an annual basis since our inception, and we expect to continue to incur net losses in the future.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our existing capital resources will be sufficient to fund our operations, including currently anticipated research and development activities and planned capital spending, into 2029. We carefully manage our capital resources and have sufficient controllable mitigating actions identified to manage our expenditure, including management of third-party expenses, such as timing of clinical trial activities, and internal resource costs. </w:t>
      </w:r>
    </w:p>
    <w:p>
      <w:pPr>
        <w:pStyle w:val="TextBody"/>
        <w:bidi w:val="0"/>
        <w:spacing w:before="240" w:after="0"/>
        <w:jc w:val="left"/>
        <w:rPr>
          <w:rFonts w:ascii="Times New Roman" w:hAnsi="Times New Roman"/>
          <w:sz w:val="20"/>
        </w:rPr>
      </w:pPr>
      <w:r>
        <w:rPr>
          <w:rFonts w:ascii="Times New Roman" w:hAnsi="Times New Roman"/>
          <w:sz w:val="20"/>
        </w:rPr>
        <w:t xml:space="preserve">However, our future funding requirements will depend on many factors,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rate of progress and cost of our clinical trials taking place in the near term, preclinical programs and other related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extent of success in our early preclinical and clinical stage research programs, which will determine the amount of funding required to further the development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progress that we make in developing new product candidates based on our proprietary ProTide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 of manufacturing clinical supplies and establishing commercial supplies of our product candidates and any products that we may develop;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involved in filing and prosecuting patent applications and enforcing and defending potential patent claims;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of receipt of our U.K. research and development tax credit cash rebates;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outcome, timing and cost of regulatory approvals of our ProTide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 and timing of establishing sales, marketing and distribution capabilities;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of hiring additional skilled employees to support our continued growth and the related costs of leasing additional office space. </w:t>
            </w:r>
          </w:p>
        </w:tc>
      </w:tr>
    </w:tbl>
    <w:p>
      <w:pPr>
        <w:pStyle w:val="TextBody"/>
        <w:bidi w:val="0"/>
        <w:spacing w:before="0" w:after="0"/>
        <w:jc w:val="right"/>
        <w:rPr>
          <w:rFonts w:ascii="Times New Roman" w:hAnsi="Times New Roman"/>
          <w:b/>
          <w:sz w:val="20"/>
        </w:rPr>
      </w:pPr>
      <w:bookmarkStart w:id="6" w:name="d140331dex993.htm"/>
      <w:bookmarkStart w:id="7" w:name="ksd140331dex993"/>
      <w:bookmarkEnd w:id="6"/>
      <w:bookmarkEnd w:id="7"/>
      <w:r>
        <w:rPr>
          <w:rFonts w:ascii="Times New Roman" w:hAnsi="Times New Roman"/>
          <w:b/>
          <w:sz w:val="20"/>
        </w:rPr>
        <w:t xml:space="preserve">Exhibit 99.3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NuCana Reports Second Quarter 2026 Financial Results and Provides Business Update </w:t>
      </w:r>
    </w:p>
    <w:p>
      <w:pPr>
        <w:pStyle w:val="TextBody"/>
        <w:bidi w:val="0"/>
        <w:spacing w:before="240" w:after="0"/>
        <w:jc w:val="center"/>
        <w:rPr>
          <w:rFonts w:ascii="Times New Roman" w:hAnsi="Times New Roman"/>
          <w:b/>
          <w:i/>
          <w:sz w:val="20"/>
        </w:rPr>
      </w:pPr>
      <w:r>
        <w:rPr>
          <w:rFonts w:ascii="Times New Roman" w:hAnsi="Times New Roman"/>
          <w:b/>
          <w:i/>
          <w:sz w:val="20"/>
        </w:rPr>
        <w:t xml:space="preserve">Final Data from Phase 2 Expansion Study of NUC-7738 Remains on Track for 2026 </w:t>
      </w:r>
    </w:p>
    <w:p>
      <w:pPr>
        <w:pStyle w:val="TextBody"/>
        <w:bidi w:val="0"/>
        <w:spacing w:before="240" w:after="0"/>
        <w:jc w:val="center"/>
        <w:rPr>
          <w:rFonts w:ascii="Times New Roman" w:hAnsi="Times New Roman"/>
          <w:b/>
          <w:i/>
          <w:sz w:val="20"/>
        </w:rPr>
      </w:pPr>
      <w:r>
        <w:rPr>
          <w:rFonts w:ascii="Times New Roman" w:hAnsi="Times New Roman"/>
          <w:b/>
          <w:i/>
          <w:sz w:val="20"/>
        </w:rPr>
        <w:t xml:space="preserve">Advancing Additional Indications and Combination Strategies for NUC-7738 </w:t>
      </w:r>
    </w:p>
    <w:p>
      <w:pPr>
        <w:pStyle w:val="TextBody"/>
        <w:bidi w:val="0"/>
        <w:spacing w:before="240" w:after="0"/>
        <w:jc w:val="center"/>
        <w:rPr>
          <w:rFonts w:ascii="Times New Roman" w:hAnsi="Times New Roman"/>
          <w:b/>
          <w:i/>
          <w:sz w:val="20"/>
        </w:rPr>
      </w:pPr>
      <w:r>
        <w:rPr>
          <w:rFonts w:ascii="Times New Roman" w:hAnsi="Times New Roman"/>
          <w:b/>
          <w:i/>
          <w:sz w:val="20"/>
        </w:rPr>
        <w:t xml:space="preserve">Cash Runway Expected to Extend into 2029 </w:t>
      </w:r>
    </w:p>
    <w:p>
      <w:pPr>
        <w:pStyle w:val="TextBody"/>
        <w:bidi w:val="0"/>
        <w:spacing w:before="240" w:after="0"/>
        <w:jc w:val="left"/>
        <w:rPr>
          <w:rFonts w:ascii="Times New Roman" w:hAnsi="Times New Roman"/>
          <w:sz w:val="20"/>
        </w:rPr>
      </w:pPr>
      <w:r>
        <w:rPr>
          <w:rFonts w:ascii="Times New Roman" w:hAnsi="Times New Roman"/>
          <w:sz w:val="20"/>
        </w:rPr>
        <w:t xml:space="preserve">Edinburgh, United Kingdom, August 13, 2026 (GLOBE NEWSWIRE) - NuCana plc (NASDAQ: NCNA) (“NuCana” or the “Company”) today announced financial results for the second quarter ended June 30, 2026 and provided an update on its clinical development program with its two lead anti-cancer medicines. </w:t>
      </w:r>
    </w:p>
    <w:p>
      <w:pPr>
        <w:pStyle w:val="TextBody"/>
        <w:bidi w:val="0"/>
        <w:spacing w:before="240" w:after="0"/>
        <w:jc w:val="left"/>
        <w:rPr/>
      </w:pPr>
      <w:r>
        <w:rPr/>
        <w:t>“</w:t>
      </w:r>
      <w:r>
        <w:rPr>
          <w:rFonts w:ascii="Times New Roman" w:hAnsi="Times New Roman"/>
          <w:sz w:val="20"/>
        </w:rPr>
        <w:t xml:space="preserve">NuCana continues to build momentum as we advance NUC-7738 closer to several important clinical and regulatory milestones,” said Hugh S. Griffith, NuCana’s Founder and Chief Executive Officer. “We are pleased to announce that recruitment is now complete in our Phase 2 NuTide:701 expansion study evaluating NUC-7738 in combination with Keytruda® (pembrolizumab) in patients with PD-1 inhibitor-resistant metastatic melanoma. Based on the data presented to date, we remain confident in the benefit NUC-7738 may offer these patients, and we remain on track to present final data from this study later this year. Following the Investigational New Drug application (“IND”) clearance from the U.S. Food and Drug Administration (the “FDA”) earlier this year, we look forward to continuing our dialogue with the FDA to determine the optimal path toward a potential registrational strategy for NUC-7738 in melanoma.” </w:t>
      </w:r>
    </w:p>
    <w:p>
      <w:pPr>
        <w:pStyle w:val="TextBody"/>
        <w:bidi w:val="0"/>
        <w:spacing w:before="240" w:after="0"/>
        <w:jc w:val="left"/>
        <w:rPr>
          <w:rFonts w:ascii="Times New Roman" w:hAnsi="Times New Roman"/>
          <w:sz w:val="20"/>
        </w:rPr>
      </w:pPr>
      <w:r>
        <w:rPr>
          <w:rFonts w:ascii="Times New Roman" w:hAnsi="Times New Roman"/>
          <w:sz w:val="20"/>
        </w:rPr>
        <w:t xml:space="preserve">Mr. Griffith continued, “We believe NUC-7738’s ability to disrupt RNA polyadenylation and act on multiple aspects of the tumor microenvironment could make an impact across a broad range of tumor types. The Company continues to assess potential additional indications, subject to emerging data and portfolio prioritization.” </w:t>
      </w:r>
    </w:p>
    <w:p>
      <w:pPr>
        <w:pStyle w:val="TextBody"/>
        <w:bidi w:val="0"/>
        <w:spacing w:before="240" w:after="0"/>
        <w:jc w:val="left"/>
        <w:rPr>
          <w:rFonts w:ascii="Times New Roman" w:hAnsi="Times New Roman"/>
          <w:sz w:val="20"/>
        </w:rPr>
      </w:pPr>
      <w:r>
        <w:rPr>
          <w:rFonts w:ascii="Times New Roman" w:hAnsi="Times New Roman"/>
          <w:sz w:val="20"/>
        </w:rPr>
        <w:t xml:space="preserve">Mr. Griffith concluded, “None of this progress would be possible without a strong financial foundation. With cash resources anticipated to fund our operations into 2029, we have the flexibility to keep advancing our pipeline, including evaluating additional indications and combination strategies for NUC-7738 and NUC-3373. We look forward to delivering on our milestones over the remainder of 2026.” </w:t>
      </w:r>
    </w:p>
    <w:p>
      <w:pPr>
        <w:pStyle w:val="TextBody"/>
        <w:bidi w:val="0"/>
        <w:spacing w:before="360" w:after="0"/>
        <w:jc w:val="left"/>
        <w:rPr>
          <w:rFonts w:ascii="Times New Roman" w:hAnsi="Times New Roman"/>
          <w:b/>
          <w:sz w:val="20"/>
        </w:rPr>
      </w:pPr>
      <w:r>
        <w:rPr>
          <w:rFonts w:ascii="Times New Roman" w:hAnsi="Times New Roman"/>
          <w:b/>
          <w:sz w:val="20"/>
        </w:rPr>
        <w:t xml:space="preserve">2026 Anticipated Milestones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NUC-7738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Complete patient recruitment in the Phase 2 expansion study (NuTide:701) evaluating NUC-7738 in combination with pembrolizumab in patients with PD-1 inhibitor-resistant melanoma;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 final data from the Phase 2 expansion study (NuTide:701) of NUC-7738 in combination with pembrolizumab in patients with PD-1 inhibitor-resistant melanoma;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 regulatory guidance from the FDA regarding a potential registrational strategy for NUC-7738 in melanoma;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Advance evaluation of additional indications and combination strategies.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NUC-3373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Complete evaluation of optimal combinations and indications to inform potential future clinical studies of NUC-3373.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Second Quarter 2026 Financial Highlights and Cash Position </w:t>
      </w:r>
    </w:p>
    <w:p>
      <w:pPr>
        <w:pStyle w:val="TextBody"/>
        <w:bidi w:val="0"/>
        <w:spacing w:before="120" w:after="0"/>
        <w:jc w:val="left"/>
        <w:rPr>
          <w:rFonts w:ascii="Times New Roman" w:hAnsi="Times New Roman"/>
          <w:sz w:val="20"/>
        </w:rPr>
      </w:pPr>
      <w:r>
        <w:rPr>
          <w:rFonts w:ascii="Times New Roman" w:hAnsi="Times New Roman"/>
          <w:sz w:val="20"/>
        </w:rPr>
        <w:t xml:space="preserve">As at June 30, 2026, NuCana had cash and cash equivalents of £19.5 million compared to £21.5 million at March 31, 2026 and £24.3 million at December 31, 2025. NuCana anticipates its cash and cash equivalents at June 30, 2026 will be sufficient to fund its planned operations into 2029. </w:t>
      </w:r>
    </w:p>
    <w:p>
      <w:pPr>
        <w:pStyle w:val="TextBody"/>
        <w:bidi w:val="0"/>
        <w:spacing w:before="200" w:after="0"/>
        <w:jc w:val="left"/>
        <w:rPr>
          <w:rFonts w:ascii="Times New Roman" w:hAnsi="Times New Roman"/>
          <w:sz w:val="20"/>
        </w:rPr>
      </w:pPr>
      <w:r>
        <w:rPr>
          <w:rFonts w:ascii="Times New Roman" w:hAnsi="Times New Roman"/>
          <w:sz w:val="20"/>
        </w:rPr>
        <w:t xml:space="preserve">NuCana reported a net loss of £3.1 million for the quarter ended June 30, 2026, as compared to a net loss of £24.1 million for the quarter ended June 30, 2025. Basic and diluted loss per ordinary share was £0.00 for the quarter ended June 30, 2026, as compared to a loss per ordinary share of £0.00 for the comparable quarter ended June 30, 2025. </w:t>
      </w:r>
    </w:p>
    <w:p>
      <w:pPr>
        <w:pStyle w:val="TextBody"/>
        <w:bidi w:val="0"/>
        <w:spacing w:before="200" w:after="0"/>
        <w:jc w:val="left"/>
        <w:rPr>
          <w:rFonts w:ascii="Times New Roman" w:hAnsi="Times New Roman"/>
          <w:sz w:val="20"/>
        </w:rPr>
      </w:pPr>
      <w:r>
        <w:rPr>
          <w:rFonts w:ascii="Times New Roman" w:hAnsi="Times New Roman"/>
          <w:sz w:val="20"/>
        </w:rPr>
        <w:t xml:space="preserve">NuCana reported a net loss of £6.9 million for the six months ended June 30, 2026, as compared to a net loss of £26.6 million for the six months ended June 30, 2025. The net loss for the six months ended June 30, 2026 and for the comparable period included the following non-cash or non-recurring items: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Share-based payment expenses of £2.8 million (2025: £8.2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Professional fees of £nil (2025: £1.4 million) related to the issue of warrants;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Finance expense of £nil (2025: £12.6 million) relating to the non-cash loss on fair value revaluation of the warrants issued in the May 2025 financing. </w:t>
            </w:r>
          </w:p>
        </w:tc>
      </w:tr>
    </w:tbl>
    <w:p>
      <w:pPr>
        <w:pStyle w:val="TextBody"/>
        <w:bidi w:val="0"/>
        <w:spacing w:before="200" w:after="0"/>
        <w:jc w:val="left"/>
        <w:rPr>
          <w:rFonts w:ascii="Times New Roman" w:hAnsi="Times New Roman"/>
          <w:sz w:val="20"/>
        </w:rPr>
      </w:pPr>
      <w:r>
        <w:rPr>
          <w:rFonts w:ascii="Times New Roman" w:hAnsi="Times New Roman"/>
          <w:sz w:val="20"/>
        </w:rPr>
        <w:t xml:space="preserve">Basic and diluted loss per ordinary share was £0.00 for the six months ended June 30, 2026, as compared to a loss per ordinary share of £0.01 for the comparable six months ended June 30, 2025. </w:t>
      </w:r>
    </w:p>
    <w:p>
      <w:pPr>
        <w:pStyle w:val="TextBody"/>
        <w:bidi w:val="0"/>
        <w:spacing w:before="300" w:after="0"/>
        <w:jc w:val="left"/>
        <w:rPr>
          <w:rFonts w:ascii="Times New Roman" w:hAnsi="Times New Roman"/>
          <w:b/>
          <w:sz w:val="20"/>
        </w:rPr>
      </w:pPr>
      <w:r>
        <w:rPr>
          <w:rFonts w:ascii="Times New Roman" w:hAnsi="Times New Roman"/>
          <w:b/>
          <w:sz w:val="20"/>
        </w:rPr>
        <w:t xml:space="preserve">About NuCana </w:t>
      </w:r>
    </w:p>
    <w:p>
      <w:pPr>
        <w:pStyle w:val="TextBody"/>
        <w:bidi w:val="0"/>
        <w:spacing w:before="100" w:after="0"/>
        <w:jc w:val="left"/>
        <w:rPr>
          <w:rFonts w:ascii="Times New Roman" w:hAnsi="Times New Roman"/>
          <w:sz w:val="20"/>
        </w:rPr>
      </w:pPr>
      <w:r>
        <w:rPr>
          <w:rFonts w:ascii="Times New Roman" w:hAnsi="Times New Roman"/>
          <w:sz w:val="20"/>
        </w:rPr>
        <w:t xml:space="preserve">NuCana is a clinical-stage biopharmaceutical company focused on significantly improving treatment outcomes for patients with cancer by applying our ProTide technology to transform some of the most widely prescribed chemotherapy agents, nucleoside analogs, into more effective and safer medicines. While these conventional agents remain part of the standard of care for the treatment of many solid and hematological tumors, they have significant shortcomings that limit their efficacy and they are often poorly tolerated. Utilizing our proprietary technology, we are developing new medicines, ProTides, designed to overcome the key limitations of nucleoside analogs and generate much higher concentrations of anti-cancer metabolites in cancer cells. NuCana’s pipeline includes NUC-7738 and NUC-3373. NUC-7738 is a novel anti-cancer agent that disrupts RNA polyadenylation, profoundly impacts gene expression in cancer cells and targets multiple aspects of the tumor microenvironment. NUC-7738 is in the Phase 2 part of a Phase 1/2 study which is evaluating NUC-7738 as a monotherapy in patients with advanced solid tumors and in combination with pembrolizumab in patients with melanoma. NUC-3373 is a targeted thymidylate synthase (“TS”) inhibitor designed to overcome key pharmacological limitations associated with other TS inhibitors. NUC-3373 has recently been evaluated in a Phase 1b/2 modular study (NuTide:303) of NUC-3373 in combination with the PD-1 inhibitor pembrolizumab for patients with advanced solid tumors and in combination with docetaxel for patients with lung cancer, and NuCana is currently evaluating further characterization of mode of action and target indications for further clinical studies of NUC-3373. </w:t>
      </w:r>
    </w:p>
    <w:p>
      <w:pPr>
        <w:pStyle w:val="TextBody"/>
        <w:bidi w:val="0"/>
        <w:spacing w:before="30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00" w:after="0"/>
        <w:jc w:val="left"/>
        <w:rPr>
          <w:rFonts w:ascii="Times New Roman" w:hAnsi="Times New Roman"/>
          <w:i/>
          <w:sz w:val="20"/>
        </w:rPr>
      </w:pPr>
      <w:r>
        <w:rPr>
          <w:rFonts w:ascii="Times New Roman" w:hAnsi="Times New Roman"/>
          <w:i/>
          <w:sz w:val="20"/>
        </w:rPr>
        <w:t xml:space="preserve">This press release may contain “forward-looking” statements within the meaning of the Private Securities Litigation Reform Act of 1995 that are based on the beliefs and assumptions and on information currently available to management of the Company. All statements other than statements of historical fact contained in this press release are forward-looking statements, including statements concerning the Company’s planned and ongoing clinical studies for the Company’s product candidates and the potential advantages of those product candidates, including NUC-7738 and NUC-3373; the initiation, enrollment, timing, progress, release of data from and results of those planned and ongoing clinical studies; the Company’s goals with respect to the development, regulatory pathway and potential use, if approved, of each of its product candidates; the utility of prior non-clinical and clinical data in determining future clinical results; and the sufficiency of the Company’s current cash and cash equivalents to fund its planned operations into 2029. In some cases, you can identify forward-looking statements by terminology such as “may,” “will,” “should,” “expects,” “plans,” “anticipates,” “believes,” “estimates,” “predicts,” “potential” or “continue” or the negative of these terms or other comparable terminology. Forward-looking statements involve known and unknown risks, uncertainties and other factors that may cause the Company’s actual results, performance or achievements to be materially different from any future results, performance or achievements expressed or implied by the forward-looking statements. These risks and uncertainties include, but are not limited to, our ability to raise additional capital sufficient to fund our planned operations and the risks and uncertainties set forth in the “Risk Factors” section of the Company’s Annual Report on Form 20-F for the year ended December 31, 2025 filed with the Securities and Exchange Commission (“SEC”) on March 19, 2026, and subsequent reports that the Company files with the SEC. Forward-looking statements represent the Company’s beliefs and assumptions only as of the date of this press release. Although the Company believes that the expectations reflected in the forward-looking statements are reasonable, it cannot guarantee future results, levels of activity, performance or achievements. Except as required by law, the Company assumes no obligation to publicly update any forward-looking statements for any reason after the date of this press release to conform any of the forward-looking statements to actual results or to changes in its expectations.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Unaudited Condensed Consolidated Statements of Operations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10"/>
        <w:gridCol w:w="122"/>
        <w:gridCol w:w="167"/>
        <w:gridCol w:w="1773"/>
        <w:gridCol w:w="155"/>
        <w:gridCol w:w="63"/>
        <w:gridCol w:w="142"/>
        <w:gridCol w:w="1798"/>
        <w:gridCol w:w="155"/>
        <w:gridCol w:w="63"/>
        <w:gridCol w:w="167"/>
        <w:gridCol w:w="1772"/>
        <w:gridCol w:w="155"/>
        <w:gridCol w:w="63"/>
        <w:gridCol w:w="142"/>
        <w:gridCol w:w="1798"/>
        <w:gridCol w:w="160"/>
      </w:tblGrid>
      <w:tr>
        <w:trPr/>
        <w:tc>
          <w:tcPr>
            <w:tcW w:w="151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1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4098" w:type="dxa"/>
            <w:gridSpan w:val="6"/>
            <w:tcBorders>
              <w:bottom w:val="single" w:sz="8" w:space="0" w:color="000000"/>
            </w:tcBorders>
            <w:tcMar>
              <w:bottom w:w="28" w:type="dxa"/>
            </w:tcMar>
            <w:vAlign w:val="bottom"/>
          </w:tcPr>
          <w:p>
            <w:pPr>
              <w:pStyle w:val="TableContents"/>
              <w:bidi w:val="0"/>
              <w:spacing w:before="0" w:after="283"/>
              <w:jc w:val="center"/>
              <w:rPr/>
            </w:pPr>
            <w:r>
              <w:rPr>
                <w:b/>
              </w:rPr>
              <w:t>For the Three Months Ended</w:t>
            </w:r>
            <w:r>
              <w:rPr/>
              <w:br/>
            </w:r>
            <w:r>
              <w:rPr>
                <w:b/>
              </w:rPr>
              <w:t>June 30,</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4097" w:type="dxa"/>
            <w:gridSpan w:val="6"/>
            <w:tcBorders>
              <w:bottom w:val="single" w:sz="8" w:space="0" w:color="000000"/>
            </w:tcBorders>
            <w:tcMar>
              <w:bottom w:w="28" w:type="dxa"/>
            </w:tcMar>
            <w:vAlign w:val="bottom"/>
          </w:tcPr>
          <w:p>
            <w:pPr>
              <w:pStyle w:val="TableContents"/>
              <w:bidi w:val="0"/>
              <w:spacing w:before="0" w:after="283"/>
              <w:jc w:val="center"/>
              <w:rPr/>
            </w:pPr>
            <w:r>
              <w:rPr>
                <w:b/>
              </w:rPr>
              <w:t>For the Six Months Ended</w:t>
            </w:r>
            <w:r>
              <w:rPr/>
              <w:br/>
            </w:r>
            <w:r>
              <w:rPr>
                <w:b/>
              </w:rPr>
              <w:t>June 30,</w:t>
            </w:r>
          </w:p>
        </w:tc>
        <w:tc>
          <w:tcPr>
            <w:tcW w:w="160" w:type="dxa"/>
            <w:tcBorders/>
            <w:vAlign w:val="bottom"/>
          </w:tcPr>
          <w:p>
            <w:pPr>
              <w:pStyle w:val="TableContents"/>
              <w:bidi w:val="0"/>
              <w:spacing w:before="0" w:after="283"/>
              <w:jc w:val="left"/>
              <w:rPr/>
            </w:pPr>
            <w:r>
              <w:rPr/>
              <w:t> </w:t>
            </w:r>
          </w:p>
        </w:tc>
      </w:tr>
      <w:tr>
        <w:trPr/>
        <w:tc>
          <w:tcPr>
            <w:tcW w:w="151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94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94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939"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94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160" w:type="dxa"/>
            <w:tcBorders/>
            <w:vAlign w:val="bottom"/>
          </w:tcPr>
          <w:p>
            <w:pPr>
              <w:pStyle w:val="TableContents"/>
              <w:bidi w:val="0"/>
              <w:spacing w:before="0" w:after="283"/>
              <w:jc w:val="left"/>
              <w:rPr/>
            </w:pPr>
            <w:r>
              <w:rPr/>
              <w:t> </w:t>
            </w:r>
          </w:p>
        </w:tc>
      </w:tr>
      <w:tr>
        <w:trPr/>
        <w:tc>
          <w:tcPr>
            <w:tcW w:w="151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413" w:type="dxa"/>
            <w:gridSpan w:val="14"/>
            <w:tcBorders/>
            <w:vAlign w:val="bottom"/>
          </w:tcPr>
          <w:p>
            <w:pPr>
              <w:pStyle w:val="TableContents"/>
              <w:bidi w:val="0"/>
              <w:spacing w:before="0" w:after="283"/>
              <w:jc w:val="center"/>
              <w:rPr>
                <w:b/>
              </w:rPr>
            </w:pPr>
            <w:r>
              <w:rPr>
                <w:b/>
              </w:rPr>
              <w:t>(in thousands, except per share data)</w:t>
            </w:r>
          </w:p>
        </w:tc>
        <w:tc>
          <w:tcPr>
            <w:tcW w:w="160" w:type="dxa"/>
            <w:tcBorders/>
            <w:vAlign w:val="bottom"/>
          </w:tcPr>
          <w:p>
            <w:pPr>
              <w:pStyle w:val="TableContents"/>
              <w:bidi w:val="0"/>
              <w:spacing w:before="0" w:after="283"/>
              <w:jc w:val="left"/>
              <w:rPr/>
            </w:pPr>
            <w:r>
              <w:rPr/>
              <w:t> </w:t>
            </w:r>
          </w:p>
        </w:tc>
      </w:tr>
      <w:tr>
        <w:trPr/>
        <w:tc>
          <w:tcPr>
            <w:tcW w:w="151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940" w:type="dxa"/>
            <w:gridSpan w:val="2"/>
            <w:tcBorders/>
            <w:vAlign w:val="bottom"/>
          </w:tcPr>
          <w:p>
            <w:pPr>
              <w:pStyle w:val="TableContents"/>
              <w:bidi w:val="0"/>
              <w:spacing w:before="0" w:after="283"/>
              <w:jc w:val="center"/>
              <w:rPr>
                <w:b/>
              </w:rPr>
            </w:pPr>
            <w:r>
              <w:rPr>
                <w:b/>
              </w:rPr>
              <w:t>£</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940" w:type="dxa"/>
            <w:gridSpan w:val="2"/>
            <w:tcBorders/>
            <w:vAlign w:val="bottom"/>
          </w:tcPr>
          <w:p>
            <w:pPr>
              <w:pStyle w:val="TableContents"/>
              <w:bidi w:val="0"/>
              <w:spacing w:before="0" w:after="283"/>
              <w:jc w:val="center"/>
              <w:rPr>
                <w:b/>
              </w:rPr>
            </w:pPr>
            <w:r>
              <w:rPr>
                <w:b/>
              </w:rPr>
              <w:t>£</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939" w:type="dxa"/>
            <w:gridSpan w:val="2"/>
            <w:tcBorders/>
            <w:vAlign w:val="bottom"/>
          </w:tcPr>
          <w:p>
            <w:pPr>
              <w:pStyle w:val="TableContents"/>
              <w:bidi w:val="0"/>
              <w:spacing w:before="0" w:after="283"/>
              <w:jc w:val="center"/>
              <w:rPr>
                <w:b/>
              </w:rPr>
            </w:pPr>
            <w:r>
              <w:rPr>
                <w:b/>
              </w:rPr>
              <w:t>£</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940" w:type="dxa"/>
            <w:gridSpan w:val="2"/>
            <w:tcBorders/>
            <w:vAlign w:val="bottom"/>
          </w:tcPr>
          <w:p>
            <w:pPr>
              <w:pStyle w:val="TableContents"/>
              <w:bidi w:val="0"/>
              <w:spacing w:before="0" w:after="283"/>
              <w:jc w:val="center"/>
              <w:rPr>
                <w:b/>
              </w:rPr>
            </w:pPr>
            <w:r>
              <w:rPr>
                <w:b/>
              </w:rPr>
              <w:t>£</w:t>
            </w:r>
          </w:p>
        </w:tc>
        <w:tc>
          <w:tcPr>
            <w:tcW w:w="160" w:type="dxa"/>
            <w:tcBorders/>
            <w:vAlign w:val="bottom"/>
          </w:tcPr>
          <w:p>
            <w:pPr>
              <w:pStyle w:val="TableContents"/>
              <w:bidi w:val="0"/>
              <w:spacing w:before="0" w:after="283"/>
              <w:jc w:val="left"/>
              <w:rPr/>
            </w:pPr>
            <w:r>
              <w:rPr/>
              <w:t> </w:t>
            </w:r>
          </w:p>
        </w:tc>
      </w:tr>
      <w:tr>
        <w:trPr/>
        <w:tc>
          <w:tcPr>
            <w:tcW w:w="1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12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773" w:type="dxa"/>
            <w:tcBorders/>
            <w:shd w:fill="CCEEFF" w:val="clear"/>
            <w:vAlign w:val="bottom"/>
          </w:tcPr>
          <w:p>
            <w:pPr>
              <w:pStyle w:val="TableContents"/>
              <w:bidi w:val="0"/>
              <w:spacing w:before="0" w:after="283"/>
              <w:jc w:val="right"/>
              <w:rPr/>
            </w:pPr>
            <w:r>
              <w:rPr/>
              <w:t>(2,250</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98" w:type="dxa"/>
            <w:tcBorders/>
            <w:shd w:fill="CCEEFF" w:val="clear"/>
            <w:vAlign w:val="bottom"/>
          </w:tcPr>
          <w:p>
            <w:pPr>
              <w:pStyle w:val="TableContents"/>
              <w:bidi w:val="0"/>
              <w:spacing w:before="0" w:after="283"/>
              <w:jc w:val="right"/>
              <w:rPr/>
            </w:pPr>
            <w:r>
              <w:rPr/>
              <w:t>(7,104</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772" w:type="dxa"/>
            <w:tcBorders/>
            <w:shd w:fill="CCEEFF" w:val="clear"/>
            <w:vAlign w:val="bottom"/>
          </w:tcPr>
          <w:p>
            <w:pPr>
              <w:pStyle w:val="TableContents"/>
              <w:bidi w:val="0"/>
              <w:spacing w:before="0" w:after="283"/>
              <w:jc w:val="right"/>
              <w:rPr/>
            </w:pPr>
            <w:r>
              <w:rPr/>
              <w:t>(5,463</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98" w:type="dxa"/>
            <w:tcBorders/>
            <w:shd w:fill="CCEEFF" w:val="clear"/>
            <w:vAlign w:val="bottom"/>
          </w:tcPr>
          <w:p>
            <w:pPr>
              <w:pStyle w:val="TableContents"/>
              <w:bidi w:val="0"/>
              <w:spacing w:before="0" w:after="283"/>
              <w:jc w:val="right"/>
              <w:rPr/>
            </w:pPr>
            <w:r>
              <w:rPr/>
              <w:t>(8,829</w:t>
            </w:r>
          </w:p>
        </w:tc>
        <w:tc>
          <w:tcPr>
            <w:tcW w:w="160" w:type="dxa"/>
            <w:tcBorders/>
            <w:shd w:fill="CCEEFF" w:val="clear"/>
            <w:vAlign w:val="bottom"/>
          </w:tcPr>
          <w:p>
            <w:pPr>
              <w:pStyle w:val="TableContents"/>
              <w:bidi w:val="0"/>
              <w:spacing w:before="0" w:after="283"/>
              <w:jc w:val="left"/>
              <w:rPr/>
            </w:pPr>
            <w:r>
              <w:rPr/>
              <w:t>) </w:t>
            </w:r>
          </w:p>
        </w:tc>
      </w:tr>
      <w:tr>
        <w:trPr/>
        <w:tc>
          <w:tcPr>
            <w:tcW w:w="1510" w:type="dxa"/>
            <w:tcBorders/>
          </w:tcPr>
          <w:p>
            <w:pPr>
              <w:pStyle w:val="TableContents"/>
              <w:bidi w:val="0"/>
              <w:spacing w:before="0" w:after="0"/>
              <w:jc w:val="left"/>
              <w:rPr>
                <w:rFonts w:ascii="Times New Roman" w:hAnsi="Times New Roman"/>
                <w:sz w:val="20"/>
              </w:rPr>
            </w:pPr>
            <w:r>
              <w:rPr>
                <w:rFonts w:ascii="Times New Roman" w:hAnsi="Times New Roman"/>
                <w:sz w:val="20"/>
              </w:rPr>
              <w:t>Administrative expenses</w:t>
            </w:r>
          </w:p>
        </w:tc>
        <w:tc>
          <w:tcPr>
            <w:tcW w:w="12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773" w:type="dxa"/>
            <w:tcBorders/>
            <w:vAlign w:val="bottom"/>
          </w:tcPr>
          <w:p>
            <w:pPr>
              <w:pStyle w:val="TableContents"/>
              <w:bidi w:val="0"/>
              <w:spacing w:before="0" w:after="283"/>
              <w:jc w:val="right"/>
              <w:rPr/>
            </w:pPr>
            <w:r>
              <w:rPr/>
              <w:t>(1,187</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98" w:type="dxa"/>
            <w:tcBorders/>
            <w:vAlign w:val="bottom"/>
          </w:tcPr>
          <w:p>
            <w:pPr>
              <w:pStyle w:val="TableContents"/>
              <w:bidi w:val="0"/>
              <w:spacing w:before="0" w:after="283"/>
              <w:jc w:val="right"/>
              <w:rPr/>
            </w:pPr>
            <w:r>
              <w:rPr/>
              <w:t>(4,523</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772" w:type="dxa"/>
            <w:tcBorders/>
            <w:vAlign w:val="bottom"/>
          </w:tcPr>
          <w:p>
            <w:pPr>
              <w:pStyle w:val="TableContents"/>
              <w:bidi w:val="0"/>
              <w:spacing w:before="0" w:after="283"/>
              <w:jc w:val="right"/>
              <w:rPr/>
            </w:pPr>
            <w:r>
              <w:rPr/>
              <w:t>(2,755</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98" w:type="dxa"/>
            <w:tcBorders/>
            <w:vAlign w:val="bottom"/>
          </w:tcPr>
          <w:p>
            <w:pPr>
              <w:pStyle w:val="TableContents"/>
              <w:bidi w:val="0"/>
              <w:spacing w:before="0" w:after="283"/>
              <w:jc w:val="right"/>
              <w:rPr/>
            </w:pPr>
            <w:r>
              <w:rPr/>
              <w:t>(5,590</w:t>
            </w:r>
          </w:p>
        </w:tc>
        <w:tc>
          <w:tcPr>
            <w:tcW w:w="160" w:type="dxa"/>
            <w:tcBorders/>
            <w:vAlign w:val="bottom"/>
          </w:tcPr>
          <w:p>
            <w:pPr>
              <w:pStyle w:val="TableContents"/>
              <w:bidi w:val="0"/>
              <w:spacing w:before="0" w:after="283"/>
              <w:jc w:val="left"/>
              <w:rPr/>
            </w:pPr>
            <w:r>
              <w:rPr/>
              <w:t>) </w:t>
            </w:r>
          </w:p>
        </w:tc>
      </w:tr>
      <w:tr>
        <w:trPr/>
        <w:tc>
          <w:tcPr>
            <w:tcW w:w="1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foreign exchange (losses) gains</w:t>
            </w:r>
          </w:p>
        </w:tc>
        <w:tc>
          <w:tcPr>
            <w:tcW w:w="12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773" w:type="dxa"/>
            <w:tcBorders/>
            <w:shd w:fill="CCEEFF" w:val="clear"/>
            <w:vAlign w:val="bottom"/>
          </w:tcPr>
          <w:p>
            <w:pPr>
              <w:pStyle w:val="TableContents"/>
              <w:bidi w:val="0"/>
              <w:spacing w:before="0" w:after="283"/>
              <w:jc w:val="right"/>
              <w:rPr/>
            </w:pPr>
            <w:r>
              <w:rPr/>
              <w:t>(110</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98" w:type="dxa"/>
            <w:tcBorders/>
            <w:shd w:fill="CCEEFF" w:val="clear"/>
            <w:vAlign w:val="bottom"/>
          </w:tcPr>
          <w:p>
            <w:pPr>
              <w:pStyle w:val="TableContents"/>
              <w:bidi w:val="0"/>
              <w:spacing w:before="0" w:after="283"/>
              <w:jc w:val="right"/>
              <w:rPr/>
            </w:pPr>
            <w:r>
              <w:rPr/>
              <w:t>(202</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772" w:type="dxa"/>
            <w:tcBorders/>
            <w:shd w:fill="CCEEFF" w:val="clear"/>
            <w:vAlign w:val="bottom"/>
          </w:tcPr>
          <w:p>
            <w:pPr>
              <w:pStyle w:val="TableContents"/>
              <w:bidi w:val="0"/>
              <w:spacing w:before="0" w:after="283"/>
              <w:jc w:val="right"/>
              <w:rPr/>
            </w:pPr>
            <w:r>
              <w:rPr/>
              <w:t>253</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98" w:type="dxa"/>
            <w:tcBorders/>
            <w:shd w:fill="CCEEFF" w:val="clear"/>
            <w:vAlign w:val="bottom"/>
          </w:tcPr>
          <w:p>
            <w:pPr>
              <w:pStyle w:val="TableContents"/>
              <w:bidi w:val="0"/>
              <w:spacing w:before="0" w:after="283"/>
              <w:jc w:val="right"/>
              <w:rPr/>
            </w:pPr>
            <w:r>
              <w:rPr/>
              <w:t>(261</w:t>
            </w:r>
          </w:p>
        </w:tc>
        <w:tc>
          <w:tcPr>
            <w:tcW w:w="160" w:type="dxa"/>
            <w:tcBorders/>
            <w:shd w:fill="CCEEFF" w:val="clear"/>
            <w:vAlign w:val="bottom"/>
          </w:tcPr>
          <w:p>
            <w:pPr>
              <w:pStyle w:val="TableContents"/>
              <w:bidi w:val="0"/>
              <w:spacing w:before="0" w:after="283"/>
              <w:jc w:val="left"/>
              <w:rPr/>
            </w:pPr>
            <w:r>
              <w:rPr/>
              <w:t>) </w:t>
            </w:r>
          </w:p>
        </w:tc>
      </w:tr>
      <w:tr>
        <w:trPr/>
        <w:tc>
          <w:tcPr>
            <w:tcW w:w="1510"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17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17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79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151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Operating loss</w:t>
            </w:r>
          </w:p>
        </w:tc>
        <w:tc>
          <w:tcPr>
            <w:tcW w:w="12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773" w:type="dxa"/>
            <w:tcBorders/>
            <w:vAlign w:val="bottom"/>
          </w:tcPr>
          <w:p>
            <w:pPr>
              <w:pStyle w:val="TableContents"/>
              <w:bidi w:val="0"/>
              <w:spacing w:before="0" w:after="283"/>
              <w:jc w:val="right"/>
              <w:rPr>
                <w:b/>
              </w:rPr>
            </w:pPr>
            <w:r>
              <w:rPr>
                <w:b/>
              </w:rPr>
              <w:t>(3,547</w:t>
            </w:r>
          </w:p>
        </w:tc>
        <w:tc>
          <w:tcPr>
            <w:tcW w:w="155" w:type="dxa"/>
            <w:tcBorders/>
            <w:vAlign w:val="bottom"/>
          </w:tcPr>
          <w:p>
            <w:pPr>
              <w:pStyle w:val="TableContents"/>
              <w:bidi w:val="0"/>
              <w:spacing w:before="0" w:after="283"/>
              <w:jc w:val="left"/>
              <w:rPr>
                <w:b/>
              </w:rPr>
            </w:pPr>
            <w:r>
              <w:rPr>
                <w:b/>
              </w:rPr>
              <w:t>) </w:t>
            </w:r>
          </w:p>
        </w:tc>
        <w:tc>
          <w:tcPr>
            <w:tcW w:w="63"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98" w:type="dxa"/>
            <w:tcBorders/>
            <w:vAlign w:val="bottom"/>
          </w:tcPr>
          <w:p>
            <w:pPr>
              <w:pStyle w:val="TableContents"/>
              <w:bidi w:val="0"/>
              <w:spacing w:before="0" w:after="283"/>
              <w:jc w:val="right"/>
              <w:rPr>
                <w:b/>
              </w:rPr>
            </w:pPr>
            <w:r>
              <w:rPr>
                <w:b/>
              </w:rPr>
              <w:t>(11,829</w:t>
            </w:r>
          </w:p>
        </w:tc>
        <w:tc>
          <w:tcPr>
            <w:tcW w:w="155" w:type="dxa"/>
            <w:tcBorders/>
            <w:vAlign w:val="bottom"/>
          </w:tcPr>
          <w:p>
            <w:pPr>
              <w:pStyle w:val="TableContents"/>
              <w:bidi w:val="0"/>
              <w:spacing w:before="0" w:after="283"/>
              <w:jc w:val="left"/>
              <w:rPr>
                <w:b/>
              </w:rPr>
            </w:pPr>
            <w:r>
              <w:rPr>
                <w:b/>
              </w:rPr>
              <w:t>) </w:t>
            </w:r>
          </w:p>
        </w:tc>
        <w:tc>
          <w:tcPr>
            <w:tcW w:w="63"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772" w:type="dxa"/>
            <w:tcBorders/>
            <w:vAlign w:val="bottom"/>
          </w:tcPr>
          <w:p>
            <w:pPr>
              <w:pStyle w:val="TableContents"/>
              <w:bidi w:val="0"/>
              <w:spacing w:before="0" w:after="283"/>
              <w:jc w:val="right"/>
              <w:rPr>
                <w:b/>
              </w:rPr>
            </w:pPr>
            <w:r>
              <w:rPr>
                <w:b/>
              </w:rPr>
              <w:t>(7,965</w:t>
            </w:r>
          </w:p>
        </w:tc>
        <w:tc>
          <w:tcPr>
            <w:tcW w:w="155" w:type="dxa"/>
            <w:tcBorders/>
            <w:vAlign w:val="bottom"/>
          </w:tcPr>
          <w:p>
            <w:pPr>
              <w:pStyle w:val="TableContents"/>
              <w:bidi w:val="0"/>
              <w:spacing w:before="0" w:after="283"/>
              <w:jc w:val="left"/>
              <w:rPr>
                <w:b/>
              </w:rPr>
            </w:pPr>
            <w:r>
              <w:rPr>
                <w:b/>
              </w:rPr>
              <w:t>) </w:t>
            </w:r>
          </w:p>
        </w:tc>
        <w:tc>
          <w:tcPr>
            <w:tcW w:w="63"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98" w:type="dxa"/>
            <w:tcBorders/>
            <w:vAlign w:val="bottom"/>
          </w:tcPr>
          <w:p>
            <w:pPr>
              <w:pStyle w:val="TableContents"/>
              <w:bidi w:val="0"/>
              <w:spacing w:before="0" w:after="283"/>
              <w:jc w:val="right"/>
              <w:rPr>
                <w:b/>
              </w:rPr>
            </w:pPr>
            <w:r>
              <w:rPr>
                <w:b/>
              </w:rPr>
              <w:t>(14,680</w:t>
            </w:r>
          </w:p>
        </w:tc>
        <w:tc>
          <w:tcPr>
            <w:tcW w:w="160" w:type="dxa"/>
            <w:tcBorders/>
            <w:vAlign w:val="bottom"/>
          </w:tcPr>
          <w:p>
            <w:pPr>
              <w:pStyle w:val="TableContents"/>
              <w:bidi w:val="0"/>
              <w:spacing w:before="0" w:after="283"/>
              <w:jc w:val="left"/>
              <w:rPr>
                <w:b/>
              </w:rPr>
            </w:pPr>
            <w:r>
              <w:rPr>
                <w:b/>
              </w:rPr>
              <w:t>) </w:t>
            </w:r>
          </w:p>
        </w:tc>
      </w:tr>
      <w:tr>
        <w:trPr/>
        <w:tc>
          <w:tcPr>
            <w:tcW w:w="1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income</w:t>
            </w:r>
          </w:p>
        </w:tc>
        <w:tc>
          <w:tcPr>
            <w:tcW w:w="12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773" w:type="dxa"/>
            <w:tcBorders/>
            <w:shd w:fill="CCEEFF" w:val="clear"/>
            <w:vAlign w:val="bottom"/>
          </w:tcPr>
          <w:p>
            <w:pPr>
              <w:pStyle w:val="TableContents"/>
              <w:bidi w:val="0"/>
              <w:spacing w:before="0" w:after="283"/>
              <w:jc w:val="right"/>
              <w:rPr/>
            </w:pPr>
            <w:r>
              <w:rPr/>
              <w:t>134</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98" w:type="dxa"/>
            <w:tcBorders/>
            <w:shd w:fill="CCEEFF" w:val="clear"/>
            <w:vAlign w:val="bottom"/>
          </w:tcPr>
          <w:p>
            <w:pPr>
              <w:pStyle w:val="TableContents"/>
              <w:bidi w:val="0"/>
              <w:spacing w:before="0" w:after="283"/>
              <w:jc w:val="right"/>
              <w:rPr/>
            </w:pPr>
            <w:r>
              <w:rPr/>
              <w:t>35</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772" w:type="dxa"/>
            <w:tcBorders/>
            <w:shd w:fill="CCEEFF" w:val="clear"/>
            <w:vAlign w:val="bottom"/>
          </w:tcPr>
          <w:p>
            <w:pPr>
              <w:pStyle w:val="TableContents"/>
              <w:bidi w:val="0"/>
              <w:spacing w:before="0" w:after="283"/>
              <w:jc w:val="right"/>
              <w:rPr/>
            </w:pPr>
            <w:r>
              <w:rPr/>
              <w:t>277</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98" w:type="dxa"/>
            <w:tcBorders/>
            <w:shd w:fill="CCEEFF" w:val="clear"/>
            <w:vAlign w:val="bottom"/>
          </w:tcPr>
          <w:p>
            <w:pPr>
              <w:pStyle w:val="TableContents"/>
              <w:bidi w:val="0"/>
              <w:spacing w:before="0" w:after="283"/>
              <w:jc w:val="right"/>
              <w:rPr/>
            </w:pPr>
            <w:r>
              <w:rPr/>
              <w:t>60</w:t>
            </w:r>
          </w:p>
        </w:tc>
        <w:tc>
          <w:tcPr>
            <w:tcW w:w="160" w:type="dxa"/>
            <w:tcBorders/>
            <w:shd w:fill="CCEEFF" w:val="clear"/>
            <w:vAlign w:val="bottom"/>
          </w:tcPr>
          <w:p>
            <w:pPr>
              <w:pStyle w:val="TableContents"/>
              <w:bidi w:val="0"/>
              <w:spacing w:before="0" w:after="283"/>
              <w:jc w:val="left"/>
              <w:rPr/>
            </w:pPr>
            <w:r>
              <w:rPr/>
              <w:t> </w:t>
            </w:r>
          </w:p>
        </w:tc>
      </w:tr>
      <w:tr>
        <w:trPr/>
        <w:tc>
          <w:tcPr>
            <w:tcW w:w="1510" w:type="dxa"/>
            <w:tcBorders/>
          </w:tcPr>
          <w:p>
            <w:pPr>
              <w:pStyle w:val="TableContents"/>
              <w:bidi w:val="0"/>
              <w:spacing w:before="0" w:after="0"/>
              <w:jc w:val="left"/>
              <w:rPr>
                <w:rFonts w:ascii="Times New Roman" w:hAnsi="Times New Roman"/>
                <w:sz w:val="20"/>
              </w:rPr>
            </w:pPr>
            <w:r>
              <w:rPr>
                <w:rFonts w:ascii="Times New Roman" w:hAnsi="Times New Roman"/>
                <w:sz w:val="20"/>
              </w:rPr>
              <w:t>Finance expense</w:t>
            </w:r>
          </w:p>
        </w:tc>
        <w:tc>
          <w:tcPr>
            <w:tcW w:w="12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77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98" w:type="dxa"/>
            <w:tcBorders/>
            <w:vAlign w:val="bottom"/>
          </w:tcPr>
          <w:p>
            <w:pPr>
              <w:pStyle w:val="TableContents"/>
              <w:bidi w:val="0"/>
              <w:spacing w:before="0" w:after="283"/>
              <w:jc w:val="right"/>
              <w:rPr/>
            </w:pPr>
            <w:r>
              <w:rPr/>
              <w:t>(12,648</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77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98" w:type="dxa"/>
            <w:tcBorders/>
            <w:vAlign w:val="bottom"/>
          </w:tcPr>
          <w:p>
            <w:pPr>
              <w:pStyle w:val="TableContents"/>
              <w:bidi w:val="0"/>
              <w:spacing w:before="0" w:after="283"/>
              <w:jc w:val="right"/>
              <w:rPr/>
            </w:pPr>
            <w:r>
              <w:rPr/>
              <w:t>(12,648</w:t>
            </w:r>
          </w:p>
        </w:tc>
        <w:tc>
          <w:tcPr>
            <w:tcW w:w="160" w:type="dxa"/>
            <w:tcBorders/>
            <w:vAlign w:val="bottom"/>
          </w:tcPr>
          <w:p>
            <w:pPr>
              <w:pStyle w:val="TableContents"/>
              <w:bidi w:val="0"/>
              <w:spacing w:before="0" w:after="283"/>
              <w:jc w:val="left"/>
              <w:rPr/>
            </w:pPr>
            <w:r>
              <w:rPr/>
              <w:t>) </w:t>
            </w:r>
          </w:p>
        </w:tc>
      </w:tr>
      <w:tr>
        <w:trPr/>
        <w:tc>
          <w:tcPr>
            <w:tcW w:w="1510"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17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17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79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151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Loss before tax</w:t>
            </w:r>
          </w:p>
        </w:tc>
        <w:tc>
          <w:tcPr>
            <w:tcW w:w="12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773" w:type="dxa"/>
            <w:tcBorders/>
            <w:shd w:fill="CCEEFF" w:val="clear"/>
            <w:vAlign w:val="bottom"/>
          </w:tcPr>
          <w:p>
            <w:pPr>
              <w:pStyle w:val="TableContents"/>
              <w:bidi w:val="0"/>
              <w:spacing w:before="0" w:after="283"/>
              <w:jc w:val="right"/>
              <w:rPr>
                <w:b/>
              </w:rPr>
            </w:pPr>
            <w:r>
              <w:rPr>
                <w:b/>
              </w:rPr>
              <w:t>(3,413</w:t>
            </w:r>
          </w:p>
        </w:tc>
        <w:tc>
          <w:tcPr>
            <w:tcW w:w="155" w:type="dxa"/>
            <w:tcBorders/>
            <w:shd w:fill="CCEEFF" w:val="clear"/>
            <w:vAlign w:val="bottom"/>
          </w:tcPr>
          <w:p>
            <w:pPr>
              <w:pStyle w:val="TableContents"/>
              <w:bidi w:val="0"/>
              <w:spacing w:before="0" w:after="283"/>
              <w:jc w:val="left"/>
              <w:rPr>
                <w:b/>
              </w:rPr>
            </w:pPr>
            <w:r>
              <w:rPr>
                <w:b/>
              </w:rPr>
              <w:t>) </w:t>
            </w:r>
          </w:p>
        </w:tc>
        <w:tc>
          <w:tcPr>
            <w:tcW w:w="63"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98" w:type="dxa"/>
            <w:tcBorders/>
            <w:shd w:fill="CCEEFF" w:val="clear"/>
            <w:vAlign w:val="bottom"/>
          </w:tcPr>
          <w:p>
            <w:pPr>
              <w:pStyle w:val="TableContents"/>
              <w:bidi w:val="0"/>
              <w:spacing w:before="0" w:after="283"/>
              <w:jc w:val="right"/>
              <w:rPr>
                <w:b/>
              </w:rPr>
            </w:pPr>
            <w:r>
              <w:rPr>
                <w:b/>
              </w:rPr>
              <w:t>(24,442</w:t>
            </w:r>
          </w:p>
        </w:tc>
        <w:tc>
          <w:tcPr>
            <w:tcW w:w="155" w:type="dxa"/>
            <w:tcBorders/>
            <w:shd w:fill="CCEEFF" w:val="clear"/>
            <w:vAlign w:val="bottom"/>
          </w:tcPr>
          <w:p>
            <w:pPr>
              <w:pStyle w:val="TableContents"/>
              <w:bidi w:val="0"/>
              <w:spacing w:before="0" w:after="283"/>
              <w:jc w:val="left"/>
              <w:rPr>
                <w:b/>
              </w:rPr>
            </w:pPr>
            <w:r>
              <w:rPr>
                <w:b/>
              </w:rPr>
              <w:t>) </w:t>
            </w:r>
          </w:p>
        </w:tc>
        <w:tc>
          <w:tcPr>
            <w:tcW w:w="63"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772" w:type="dxa"/>
            <w:tcBorders/>
            <w:shd w:fill="CCEEFF" w:val="clear"/>
            <w:vAlign w:val="bottom"/>
          </w:tcPr>
          <w:p>
            <w:pPr>
              <w:pStyle w:val="TableContents"/>
              <w:bidi w:val="0"/>
              <w:spacing w:before="0" w:after="283"/>
              <w:jc w:val="right"/>
              <w:rPr>
                <w:b/>
              </w:rPr>
            </w:pPr>
            <w:r>
              <w:rPr>
                <w:b/>
              </w:rPr>
              <w:t>(7,688</w:t>
            </w:r>
          </w:p>
        </w:tc>
        <w:tc>
          <w:tcPr>
            <w:tcW w:w="155" w:type="dxa"/>
            <w:tcBorders/>
            <w:shd w:fill="CCEEFF" w:val="clear"/>
            <w:vAlign w:val="bottom"/>
          </w:tcPr>
          <w:p>
            <w:pPr>
              <w:pStyle w:val="TableContents"/>
              <w:bidi w:val="0"/>
              <w:spacing w:before="0" w:after="283"/>
              <w:jc w:val="left"/>
              <w:rPr>
                <w:b/>
              </w:rPr>
            </w:pPr>
            <w:r>
              <w:rPr>
                <w:b/>
              </w:rPr>
              <w:t>) </w:t>
            </w:r>
          </w:p>
        </w:tc>
        <w:tc>
          <w:tcPr>
            <w:tcW w:w="63"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98" w:type="dxa"/>
            <w:tcBorders/>
            <w:shd w:fill="CCEEFF" w:val="clear"/>
            <w:vAlign w:val="bottom"/>
          </w:tcPr>
          <w:p>
            <w:pPr>
              <w:pStyle w:val="TableContents"/>
              <w:bidi w:val="0"/>
              <w:spacing w:before="0" w:after="283"/>
              <w:jc w:val="right"/>
              <w:rPr>
                <w:b/>
              </w:rPr>
            </w:pPr>
            <w:r>
              <w:rPr>
                <w:b/>
              </w:rPr>
              <w:t>(27,268</w:t>
            </w:r>
          </w:p>
        </w:tc>
        <w:tc>
          <w:tcPr>
            <w:tcW w:w="160" w:type="dxa"/>
            <w:tcBorders/>
            <w:shd w:fill="CCEEFF" w:val="clear"/>
            <w:vAlign w:val="bottom"/>
          </w:tcPr>
          <w:p>
            <w:pPr>
              <w:pStyle w:val="TableContents"/>
              <w:bidi w:val="0"/>
              <w:spacing w:before="0" w:after="283"/>
              <w:jc w:val="left"/>
              <w:rPr>
                <w:b/>
              </w:rPr>
            </w:pPr>
            <w:r>
              <w:rPr>
                <w:b/>
              </w:rPr>
              <w:t>) </w:t>
            </w:r>
          </w:p>
        </w:tc>
      </w:tr>
      <w:tr>
        <w:trPr/>
        <w:tc>
          <w:tcPr>
            <w:tcW w:w="1510" w:type="dxa"/>
            <w:tcBorders/>
          </w:tcPr>
          <w:p>
            <w:pPr>
              <w:pStyle w:val="TableContents"/>
              <w:bidi w:val="0"/>
              <w:spacing w:before="0" w:after="0"/>
              <w:jc w:val="left"/>
              <w:rPr>
                <w:rFonts w:ascii="Times New Roman" w:hAnsi="Times New Roman"/>
                <w:sz w:val="20"/>
              </w:rPr>
            </w:pPr>
            <w:r>
              <w:rPr>
                <w:rFonts w:ascii="Times New Roman" w:hAnsi="Times New Roman"/>
                <w:sz w:val="20"/>
              </w:rPr>
              <w:t>Income tax credit</w:t>
            </w:r>
          </w:p>
        </w:tc>
        <w:tc>
          <w:tcPr>
            <w:tcW w:w="12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773" w:type="dxa"/>
            <w:tcBorders/>
            <w:vAlign w:val="bottom"/>
          </w:tcPr>
          <w:p>
            <w:pPr>
              <w:pStyle w:val="TableContents"/>
              <w:bidi w:val="0"/>
              <w:spacing w:before="0" w:after="283"/>
              <w:jc w:val="right"/>
              <w:rPr/>
            </w:pPr>
            <w:r>
              <w:rPr/>
              <w:t>333</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98" w:type="dxa"/>
            <w:tcBorders/>
            <w:vAlign w:val="bottom"/>
          </w:tcPr>
          <w:p>
            <w:pPr>
              <w:pStyle w:val="TableContents"/>
              <w:bidi w:val="0"/>
              <w:spacing w:before="0" w:after="283"/>
              <w:jc w:val="right"/>
              <w:rPr/>
            </w:pPr>
            <w:r>
              <w:rPr/>
              <w:t>328</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772" w:type="dxa"/>
            <w:tcBorders/>
            <w:vAlign w:val="bottom"/>
          </w:tcPr>
          <w:p>
            <w:pPr>
              <w:pStyle w:val="TableContents"/>
              <w:bidi w:val="0"/>
              <w:spacing w:before="0" w:after="283"/>
              <w:jc w:val="right"/>
              <w:rPr/>
            </w:pPr>
            <w:r>
              <w:rPr/>
              <w:t>743</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98" w:type="dxa"/>
            <w:tcBorders/>
            <w:vAlign w:val="bottom"/>
          </w:tcPr>
          <w:p>
            <w:pPr>
              <w:pStyle w:val="TableContents"/>
              <w:bidi w:val="0"/>
              <w:spacing w:before="0" w:after="283"/>
              <w:jc w:val="right"/>
              <w:rPr/>
            </w:pPr>
            <w:r>
              <w:rPr/>
              <w:t>681</w:t>
            </w:r>
          </w:p>
        </w:tc>
        <w:tc>
          <w:tcPr>
            <w:tcW w:w="160" w:type="dxa"/>
            <w:tcBorders/>
            <w:vAlign w:val="bottom"/>
          </w:tcPr>
          <w:p>
            <w:pPr>
              <w:pStyle w:val="TableContents"/>
              <w:bidi w:val="0"/>
              <w:spacing w:before="0" w:after="283"/>
              <w:jc w:val="left"/>
              <w:rPr/>
            </w:pPr>
            <w:r>
              <w:rPr/>
              <w:t> </w:t>
            </w:r>
          </w:p>
        </w:tc>
      </w:tr>
      <w:tr>
        <w:trPr/>
        <w:tc>
          <w:tcPr>
            <w:tcW w:w="1510"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17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17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79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151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Loss for the period attributable to equity holders of the Company</w:t>
            </w:r>
          </w:p>
        </w:tc>
        <w:tc>
          <w:tcPr>
            <w:tcW w:w="12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773" w:type="dxa"/>
            <w:tcBorders/>
            <w:shd w:fill="CCEEFF" w:val="clear"/>
            <w:vAlign w:val="bottom"/>
          </w:tcPr>
          <w:p>
            <w:pPr>
              <w:pStyle w:val="TableContents"/>
              <w:bidi w:val="0"/>
              <w:spacing w:before="0" w:after="283"/>
              <w:jc w:val="right"/>
              <w:rPr>
                <w:b/>
              </w:rPr>
            </w:pPr>
            <w:r>
              <w:rPr>
                <w:b/>
              </w:rPr>
              <w:t>(3,080</w:t>
            </w:r>
          </w:p>
        </w:tc>
        <w:tc>
          <w:tcPr>
            <w:tcW w:w="155" w:type="dxa"/>
            <w:tcBorders/>
            <w:shd w:fill="CCEEFF" w:val="clear"/>
            <w:vAlign w:val="bottom"/>
          </w:tcPr>
          <w:p>
            <w:pPr>
              <w:pStyle w:val="TableContents"/>
              <w:bidi w:val="0"/>
              <w:spacing w:before="0" w:after="283"/>
              <w:jc w:val="left"/>
              <w:rPr>
                <w:b/>
              </w:rPr>
            </w:pPr>
            <w:r>
              <w:rPr>
                <w:b/>
              </w:rPr>
              <w:t>) </w:t>
            </w:r>
          </w:p>
        </w:tc>
        <w:tc>
          <w:tcPr>
            <w:tcW w:w="63"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98" w:type="dxa"/>
            <w:tcBorders/>
            <w:shd w:fill="CCEEFF" w:val="clear"/>
            <w:vAlign w:val="bottom"/>
          </w:tcPr>
          <w:p>
            <w:pPr>
              <w:pStyle w:val="TableContents"/>
              <w:bidi w:val="0"/>
              <w:spacing w:before="0" w:after="283"/>
              <w:jc w:val="right"/>
              <w:rPr>
                <w:b/>
              </w:rPr>
            </w:pPr>
            <w:r>
              <w:rPr>
                <w:b/>
              </w:rPr>
              <w:t>(24,114</w:t>
            </w:r>
          </w:p>
        </w:tc>
        <w:tc>
          <w:tcPr>
            <w:tcW w:w="155" w:type="dxa"/>
            <w:tcBorders/>
            <w:shd w:fill="CCEEFF" w:val="clear"/>
            <w:vAlign w:val="bottom"/>
          </w:tcPr>
          <w:p>
            <w:pPr>
              <w:pStyle w:val="TableContents"/>
              <w:bidi w:val="0"/>
              <w:spacing w:before="0" w:after="283"/>
              <w:jc w:val="left"/>
              <w:rPr>
                <w:b/>
              </w:rPr>
            </w:pPr>
            <w:r>
              <w:rPr>
                <w:b/>
              </w:rPr>
              <w:t>) </w:t>
            </w:r>
          </w:p>
        </w:tc>
        <w:tc>
          <w:tcPr>
            <w:tcW w:w="63"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772" w:type="dxa"/>
            <w:tcBorders/>
            <w:shd w:fill="CCEEFF" w:val="clear"/>
            <w:vAlign w:val="bottom"/>
          </w:tcPr>
          <w:p>
            <w:pPr>
              <w:pStyle w:val="TableContents"/>
              <w:bidi w:val="0"/>
              <w:spacing w:before="0" w:after="283"/>
              <w:jc w:val="right"/>
              <w:rPr>
                <w:b/>
              </w:rPr>
            </w:pPr>
            <w:r>
              <w:rPr>
                <w:b/>
              </w:rPr>
              <w:t>(6,945</w:t>
            </w:r>
          </w:p>
        </w:tc>
        <w:tc>
          <w:tcPr>
            <w:tcW w:w="155" w:type="dxa"/>
            <w:tcBorders/>
            <w:shd w:fill="CCEEFF" w:val="clear"/>
            <w:vAlign w:val="bottom"/>
          </w:tcPr>
          <w:p>
            <w:pPr>
              <w:pStyle w:val="TableContents"/>
              <w:bidi w:val="0"/>
              <w:spacing w:before="0" w:after="283"/>
              <w:jc w:val="left"/>
              <w:rPr>
                <w:b/>
              </w:rPr>
            </w:pPr>
            <w:r>
              <w:rPr>
                <w:b/>
              </w:rPr>
              <w:t>) </w:t>
            </w:r>
          </w:p>
        </w:tc>
        <w:tc>
          <w:tcPr>
            <w:tcW w:w="63"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98" w:type="dxa"/>
            <w:tcBorders/>
            <w:shd w:fill="CCEEFF" w:val="clear"/>
            <w:vAlign w:val="bottom"/>
          </w:tcPr>
          <w:p>
            <w:pPr>
              <w:pStyle w:val="TableContents"/>
              <w:bidi w:val="0"/>
              <w:spacing w:before="0" w:after="283"/>
              <w:jc w:val="right"/>
              <w:rPr>
                <w:b/>
              </w:rPr>
            </w:pPr>
            <w:r>
              <w:rPr>
                <w:b/>
              </w:rPr>
              <w:t>(26,587</w:t>
            </w:r>
          </w:p>
        </w:tc>
        <w:tc>
          <w:tcPr>
            <w:tcW w:w="160" w:type="dxa"/>
            <w:tcBorders/>
            <w:shd w:fill="CCEEFF" w:val="clear"/>
            <w:vAlign w:val="bottom"/>
          </w:tcPr>
          <w:p>
            <w:pPr>
              <w:pStyle w:val="TableContents"/>
              <w:bidi w:val="0"/>
              <w:spacing w:before="0" w:after="283"/>
              <w:jc w:val="left"/>
              <w:rPr>
                <w:b/>
              </w:rPr>
            </w:pPr>
            <w:r>
              <w:rPr>
                <w:b/>
              </w:rPr>
              <w:t>) </w:t>
            </w:r>
          </w:p>
        </w:tc>
      </w:tr>
      <w:tr>
        <w:trPr/>
        <w:tc>
          <w:tcPr>
            <w:tcW w:w="1510"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double" w:sz="6" w:space="1" w:color="000000"/>
              </w:pBdr>
              <w:bidi w:val="0"/>
              <w:spacing w:before="0" w:after="0"/>
              <w:jc w:val="left"/>
              <w:rPr/>
            </w:pPr>
            <w:r>
              <w:rPr/>
              <w:t> </w:t>
            </w:r>
          </w:p>
        </w:tc>
        <w:tc>
          <w:tcPr>
            <w:tcW w:w="177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179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double" w:sz="6" w:space="1" w:color="000000"/>
              </w:pBdr>
              <w:bidi w:val="0"/>
              <w:spacing w:before="0" w:after="0"/>
              <w:jc w:val="left"/>
              <w:rPr/>
            </w:pPr>
            <w:r>
              <w:rPr/>
              <w:t> </w:t>
            </w:r>
          </w:p>
        </w:tc>
        <w:tc>
          <w:tcPr>
            <w:tcW w:w="177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1798"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1510" w:type="dxa"/>
            <w:tcBorders/>
          </w:tcPr>
          <w:p>
            <w:pPr>
              <w:pStyle w:val="TableContents"/>
              <w:bidi w:val="0"/>
              <w:spacing w:before="0" w:after="0"/>
              <w:jc w:val="left"/>
              <w:rPr>
                <w:rFonts w:ascii="Times New Roman" w:hAnsi="Times New Roman"/>
                <w:sz w:val="20"/>
              </w:rPr>
            </w:pPr>
            <w:r>
              <w:rPr>
                <w:rFonts w:ascii="Times New Roman" w:hAnsi="Times New Roman"/>
                <w:sz w:val="20"/>
              </w:rPr>
              <w:t>Basic and diluted loss per ordinary share</w:t>
            </w:r>
          </w:p>
        </w:tc>
        <w:tc>
          <w:tcPr>
            <w:tcW w:w="12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773" w:type="dxa"/>
            <w:tcBorders/>
            <w:vAlign w:val="bottom"/>
          </w:tcPr>
          <w:p>
            <w:pPr>
              <w:pStyle w:val="TableContents"/>
              <w:bidi w:val="0"/>
              <w:spacing w:before="0" w:after="283"/>
              <w:jc w:val="right"/>
              <w:rPr/>
            </w:pPr>
            <w:r>
              <w:rPr/>
              <w:t>(0.00</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98" w:type="dxa"/>
            <w:tcBorders/>
            <w:vAlign w:val="bottom"/>
          </w:tcPr>
          <w:p>
            <w:pPr>
              <w:pStyle w:val="TableContents"/>
              <w:bidi w:val="0"/>
              <w:spacing w:before="0" w:after="283"/>
              <w:jc w:val="right"/>
              <w:rPr/>
            </w:pPr>
            <w:r>
              <w:rPr/>
              <w:t>(0.00</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772" w:type="dxa"/>
            <w:tcBorders/>
            <w:vAlign w:val="bottom"/>
          </w:tcPr>
          <w:p>
            <w:pPr>
              <w:pStyle w:val="TableContents"/>
              <w:bidi w:val="0"/>
              <w:spacing w:before="0" w:after="283"/>
              <w:jc w:val="right"/>
              <w:rPr/>
            </w:pPr>
            <w:r>
              <w:rPr/>
              <w:t>(0.00</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98" w:type="dxa"/>
            <w:tcBorders/>
            <w:vAlign w:val="bottom"/>
          </w:tcPr>
          <w:p>
            <w:pPr>
              <w:pStyle w:val="TableContents"/>
              <w:bidi w:val="0"/>
              <w:spacing w:before="0" w:after="283"/>
              <w:jc w:val="right"/>
              <w:rPr/>
            </w:pPr>
            <w:r>
              <w:rPr/>
              <w:t>(0.01</w:t>
            </w:r>
          </w:p>
        </w:tc>
        <w:tc>
          <w:tcPr>
            <w:tcW w:w="160"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Unaudited Condensed Consolidated Statements of Financial Position As At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920"/>
        <w:gridCol w:w="159"/>
        <w:gridCol w:w="148"/>
        <w:gridCol w:w="2179"/>
        <w:gridCol w:w="155"/>
        <w:gridCol w:w="100"/>
        <w:gridCol w:w="152"/>
        <w:gridCol w:w="2234"/>
        <w:gridCol w:w="158"/>
      </w:tblGrid>
      <w:tr>
        <w:trPr/>
        <w:tc>
          <w:tcPr>
            <w:tcW w:w="4920"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3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2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2327"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June 30,    </w:t>
            </w:r>
            <w:r>
              <w:rPr/>
              <w:br/>
            </w:r>
            <w:r>
              <w:rPr>
                <w:b/>
              </w:rPr>
              <w:t>2026</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2386"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December 31,  </w:t>
            </w:r>
            <w:r>
              <w:rPr/>
              <w:br/>
            </w:r>
            <w:r>
              <w:rPr>
                <w:b/>
              </w:rPr>
              <w:t>2025</w:t>
            </w:r>
          </w:p>
        </w:tc>
        <w:tc>
          <w:tcPr>
            <w:tcW w:w="158" w:type="dxa"/>
            <w:tcBorders/>
            <w:vAlign w:val="bottom"/>
          </w:tcPr>
          <w:p>
            <w:pPr>
              <w:pStyle w:val="TableContents"/>
              <w:bidi w:val="0"/>
              <w:spacing w:before="0" w:after="283"/>
              <w:jc w:val="left"/>
              <w:rPr/>
            </w:pPr>
            <w:r>
              <w:rPr/>
              <w:t> </w:t>
            </w:r>
          </w:p>
        </w:tc>
      </w:tr>
      <w:tr>
        <w:trPr/>
        <w:tc>
          <w:tcPr>
            <w:tcW w:w="492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4968" w:type="dxa"/>
            <w:gridSpan w:val="6"/>
            <w:tcBorders/>
            <w:vAlign w:val="bottom"/>
          </w:tcPr>
          <w:p>
            <w:pPr>
              <w:pStyle w:val="TableContents"/>
              <w:bidi w:val="0"/>
              <w:spacing w:before="0" w:after="283"/>
              <w:jc w:val="center"/>
              <w:rPr>
                <w:b/>
              </w:rPr>
            </w:pPr>
            <w:r>
              <w:rPr>
                <w:b/>
              </w:rPr>
              <w:t>(in thousands)</w:t>
            </w:r>
          </w:p>
        </w:tc>
        <w:tc>
          <w:tcPr>
            <w:tcW w:w="158" w:type="dxa"/>
            <w:tcBorders/>
            <w:vAlign w:val="bottom"/>
          </w:tcPr>
          <w:p>
            <w:pPr>
              <w:pStyle w:val="TableContents"/>
              <w:bidi w:val="0"/>
              <w:spacing w:before="0" w:after="283"/>
              <w:jc w:val="left"/>
              <w:rPr/>
            </w:pPr>
            <w:r>
              <w:rPr/>
              <w:t> </w:t>
            </w:r>
          </w:p>
        </w:tc>
      </w:tr>
      <w:tr>
        <w:trPr/>
        <w:tc>
          <w:tcPr>
            <w:tcW w:w="492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2327" w:type="dxa"/>
            <w:gridSpan w:val="2"/>
            <w:tcBorders/>
            <w:vAlign w:val="bottom"/>
          </w:tcPr>
          <w:p>
            <w:pPr>
              <w:pStyle w:val="TableContents"/>
              <w:bidi w:val="0"/>
              <w:spacing w:before="0" w:after="283"/>
              <w:jc w:val="center"/>
              <w:rPr>
                <w:b/>
              </w:rPr>
            </w:pPr>
            <w:r>
              <w:rPr>
                <w:b/>
              </w:rPr>
              <w:t>£</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2386" w:type="dxa"/>
            <w:gridSpan w:val="2"/>
            <w:tcBorders/>
            <w:vAlign w:val="bottom"/>
          </w:tcPr>
          <w:p>
            <w:pPr>
              <w:pStyle w:val="TableContents"/>
              <w:bidi w:val="0"/>
              <w:spacing w:before="0" w:after="283"/>
              <w:jc w:val="center"/>
              <w:rPr>
                <w:b/>
              </w:rPr>
            </w:pPr>
            <w:r>
              <w:rPr>
                <w:b/>
              </w:rPr>
              <w:t>£</w:t>
            </w:r>
          </w:p>
        </w:tc>
        <w:tc>
          <w:tcPr>
            <w:tcW w:w="158" w:type="dxa"/>
            <w:tcBorders/>
            <w:vAlign w:val="bottom"/>
          </w:tcPr>
          <w:p>
            <w:pPr>
              <w:pStyle w:val="TableContents"/>
              <w:bidi w:val="0"/>
              <w:spacing w:before="0" w:after="283"/>
              <w:jc w:val="left"/>
              <w:rPr/>
            </w:pPr>
            <w:r>
              <w:rPr/>
              <w:t> </w:t>
            </w:r>
          </w:p>
        </w:tc>
      </w:tr>
      <w:tr>
        <w:trPr/>
        <w:tc>
          <w:tcPr>
            <w:tcW w:w="492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5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217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223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4920" w:type="dxa"/>
            <w:tcBorders/>
          </w:tcPr>
          <w:p>
            <w:pPr>
              <w:pStyle w:val="TableContents"/>
              <w:bidi w:val="0"/>
              <w:spacing w:before="0" w:after="0"/>
              <w:jc w:val="left"/>
              <w:rPr>
                <w:rFonts w:ascii="Times New Roman" w:hAnsi="Times New Roman"/>
                <w:b/>
                <w:sz w:val="20"/>
              </w:rPr>
            </w:pPr>
            <w:r>
              <w:rPr>
                <w:rFonts w:ascii="Times New Roman" w:hAnsi="Times New Roman"/>
                <w:b/>
                <w:sz w:val="20"/>
              </w:rPr>
              <w:t>Non-current assets</w:t>
            </w:r>
          </w:p>
        </w:tc>
        <w:tc>
          <w:tcPr>
            <w:tcW w:w="15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217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2234"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49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Intangible assets</w:t>
            </w:r>
          </w:p>
        </w:tc>
        <w:tc>
          <w:tcPr>
            <w:tcW w:w="15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2179" w:type="dxa"/>
            <w:tcBorders/>
            <w:shd w:fill="CCEEFF" w:val="clear"/>
            <w:vAlign w:val="bottom"/>
          </w:tcPr>
          <w:p>
            <w:pPr>
              <w:pStyle w:val="TableContents"/>
              <w:bidi w:val="0"/>
              <w:spacing w:before="0" w:after="283"/>
              <w:jc w:val="right"/>
              <w:rPr/>
            </w:pPr>
            <w:r>
              <w:rPr/>
              <w:t>2,206</w:t>
            </w:r>
          </w:p>
        </w:tc>
        <w:tc>
          <w:tcPr>
            <w:tcW w:w="15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2234" w:type="dxa"/>
            <w:tcBorders/>
            <w:shd w:fill="CCEEFF" w:val="clear"/>
            <w:vAlign w:val="bottom"/>
          </w:tcPr>
          <w:p>
            <w:pPr>
              <w:pStyle w:val="TableContents"/>
              <w:bidi w:val="0"/>
              <w:spacing w:before="0" w:after="283"/>
              <w:jc w:val="right"/>
              <w:rPr/>
            </w:pPr>
            <w:r>
              <w:rPr/>
              <w:t>2,198</w:t>
            </w:r>
          </w:p>
        </w:tc>
        <w:tc>
          <w:tcPr>
            <w:tcW w:w="158" w:type="dxa"/>
            <w:tcBorders/>
            <w:shd w:fill="CCEEFF" w:val="clear"/>
            <w:vAlign w:val="bottom"/>
          </w:tcPr>
          <w:p>
            <w:pPr>
              <w:pStyle w:val="TableContents"/>
              <w:bidi w:val="0"/>
              <w:spacing w:before="0" w:after="283"/>
              <w:jc w:val="left"/>
              <w:rPr/>
            </w:pPr>
            <w:r>
              <w:rPr/>
              <w:t> </w:t>
            </w:r>
          </w:p>
        </w:tc>
      </w:tr>
      <w:tr>
        <w:trPr/>
        <w:tc>
          <w:tcPr>
            <w:tcW w:w="4920" w:type="dxa"/>
            <w:tcBorders/>
          </w:tcPr>
          <w:p>
            <w:pPr>
              <w:pStyle w:val="TableContents"/>
              <w:bidi w:val="0"/>
              <w:spacing w:before="0" w:after="0"/>
              <w:jc w:val="left"/>
              <w:rPr>
                <w:rFonts w:ascii="Times New Roman" w:hAnsi="Times New Roman"/>
                <w:sz w:val="20"/>
              </w:rPr>
            </w:pPr>
            <w:r>
              <w:rPr>
                <w:rFonts w:ascii="Times New Roman" w:hAnsi="Times New Roman"/>
                <w:sz w:val="20"/>
              </w:rPr>
              <w:t>Property, plant and equipment</w:t>
            </w:r>
          </w:p>
        </w:tc>
        <w:tc>
          <w:tcPr>
            <w:tcW w:w="15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2179" w:type="dxa"/>
            <w:tcBorders/>
            <w:vAlign w:val="bottom"/>
          </w:tcPr>
          <w:p>
            <w:pPr>
              <w:pStyle w:val="TableContents"/>
              <w:bidi w:val="0"/>
              <w:spacing w:before="0" w:after="283"/>
              <w:jc w:val="right"/>
              <w:rPr/>
            </w:pPr>
            <w:r>
              <w:rPr/>
              <w:t>622</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2234" w:type="dxa"/>
            <w:tcBorders/>
            <w:vAlign w:val="bottom"/>
          </w:tcPr>
          <w:p>
            <w:pPr>
              <w:pStyle w:val="TableContents"/>
              <w:bidi w:val="0"/>
              <w:spacing w:before="0" w:after="283"/>
              <w:jc w:val="right"/>
              <w:rPr/>
            </w:pPr>
            <w:r>
              <w:rPr/>
              <w:t>658</w:t>
            </w:r>
          </w:p>
        </w:tc>
        <w:tc>
          <w:tcPr>
            <w:tcW w:w="158" w:type="dxa"/>
            <w:tcBorders/>
            <w:vAlign w:val="bottom"/>
          </w:tcPr>
          <w:p>
            <w:pPr>
              <w:pStyle w:val="TableContents"/>
              <w:bidi w:val="0"/>
              <w:spacing w:before="0" w:after="283"/>
              <w:jc w:val="left"/>
              <w:rPr/>
            </w:pPr>
            <w:r>
              <w:rPr/>
              <w:t> </w:t>
            </w:r>
          </w:p>
        </w:tc>
      </w:tr>
      <w:tr>
        <w:trPr/>
        <w:tc>
          <w:tcPr>
            <w:tcW w:w="49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asset</w:t>
            </w:r>
          </w:p>
        </w:tc>
        <w:tc>
          <w:tcPr>
            <w:tcW w:w="15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2179" w:type="dxa"/>
            <w:tcBorders/>
            <w:shd w:fill="CCEEFF" w:val="clear"/>
            <w:vAlign w:val="bottom"/>
          </w:tcPr>
          <w:p>
            <w:pPr>
              <w:pStyle w:val="TableContents"/>
              <w:bidi w:val="0"/>
              <w:spacing w:before="0" w:after="283"/>
              <w:jc w:val="right"/>
              <w:rPr/>
            </w:pPr>
            <w:r>
              <w:rPr/>
              <w:t>125</w:t>
            </w:r>
          </w:p>
        </w:tc>
        <w:tc>
          <w:tcPr>
            <w:tcW w:w="15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2234" w:type="dxa"/>
            <w:tcBorders/>
            <w:shd w:fill="CCEEFF" w:val="clear"/>
            <w:vAlign w:val="bottom"/>
          </w:tcPr>
          <w:p>
            <w:pPr>
              <w:pStyle w:val="TableContents"/>
              <w:bidi w:val="0"/>
              <w:spacing w:before="0" w:after="283"/>
              <w:jc w:val="right"/>
              <w:rPr/>
            </w:pPr>
            <w:r>
              <w:rPr/>
              <w:t>117</w:t>
            </w:r>
          </w:p>
        </w:tc>
        <w:tc>
          <w:tcPr>
            <w:tcW w:w="158" w:type="dxa"/>
            <w:tcBorders/>
            <w:shd w:fill="CCEEFF" w:val="clear"/>
            <w:vAlign w:val="bottom"/>
          </w:tcPr>
          <w:p>
            <w:pPr>
              <w:pStyle w:val="TableContents"/>
              <w:bidi w:val="0"/>
              <w:spacing w:before="0" w:after="283"/>
              <w:jc w:val="left"/>
              <w:rPr/>
            </w:pPr>
            <w:r>
              <w:rPr/>
              <w:t> </w:t>
            </w:r>
          </w:p>
        </w:tc>
      </w:tr>
      <w:tr>
        <w:trPr/>
        <w:tc>
          <w:tcPr>
            <w:tcW w:w="492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21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223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920" w:type="dxa"/>
            <w:tcBorders/>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2179" w:type="dxa"/>
            <w:tcBorders/>
            <w:vAlign w:val="bottom"/>
          </w:tcPr>
          <w:p>
            <w:pPr>
              <w:pStyle w:val="TableContents"/>
              <w:bidi w:val="0"/>
              <w:spacing w:before="0" w:after="283"/>
              <w:jc w:val="right"/>
              <w:rPr>
                <w:b/>
              </w:rPr>
            </w:pPr>
            <w:r>
              <w:rPr>
                <w:b/>
              </w:rPr>
              <w:t>2,953</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2234" w:type="dxa"/>
            <w:tcBorders/>
            <w:vAlign w:val="bottom"/>
          </w:tcPr>
          <w:p>
            <w:pPr>
              <w:pStyle w:val="TableContents"/>
              <w:bidi w:val="0"/>
              <w:spacing w:before="0" w:after="283"/>
              <w:jc w:val="right"/>
              <w:rPr>
                <w:b/>
              </w:rPr>
            </w:pPr>
            <w:r>
              <w:rPr>
                <w:b/>
              </w:rPr>
              <w:t>2,973</w:t>
            </w:r>
          </w:p>
        </w:tc>
        <w:tc>
          <w:tcPr>
            <w:tcW w:w="158" w:type="dxa"/>
            <w:tcBorders/>
            <w:vAlign w:val="bottom"/>
          </w:tcPr>
          <w:p>
            <w:pPr>
              <w:pStyle w:val="TableContents"/>
              <w:bidi w:val="0"/>
              <w:spacing w:before="0" w:after="283"/>
              <w:jc w:val="left"/>
              <w:rPr/>
            </w:pPr>
            <w:r>
              <w:rPr/>
              <w:t> </w:t>
            </w:r>
          </w:p>
        </w:tc>
      </w:tr>
      <w:tr>
        <w:trPr/>
        <w:tc>
          <w:tcPr>
            <w:tcW w:w="492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Current assets</w:t>
            </w:r>
          </w:p>
        </w:tc>
        <w:tc>
          <w:tcPr>
            <w:tcW w:w="15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217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223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4920" w:type="dxa"/>
            <w:tcBorders/>
          </w:tcPr>
          <w:p>
            <w:pPr>
              <w:pStyle w:val="TableContents"/>
              <w:bidi w:val="0"/>
              <w:spacing w:before="0" w:after="0"/>
              <w:jc w:val="left"/>
              <w:rPr>
                <w:rFonts w:ascii="Times New Roman" w:hAnsi="Times New Roman"/>
                <w:sz w:val="20"/>
              </w:rPr>
            </w:pPr>
            <w:r>
              <w:rPr>
                <w:rFonts w:ascii="Times New Roman" w:hAnsi="Times New Roman"/>
                <w:sz w:val="20"/>
              </w:rPr>
              <w:t>Prepayments, accrued income and other receivables</w:t>
            </w:r>
          </w:p>
        </w:tc>
        <w:tc>
          <w:tcPr>
            <w:tcW w:w="15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2179" w:type="dxa"/>
            <w:tcBorders/>
            <w:vAlign w:val="bottom"/>
          </w:tcPr>
          <w:p>
            <w:pPr>
              <w:pStyle w:val="TableContents"/>
              <w:bidi w:val="0"/>
              <w:spacing w:before="0" w:after="283"/>
              <w:jc w:val="right"/>
              <w:rPr/>
            </w:pPr>
            <w:r>
              <w:rPr/>
              <w:t>829</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2234" w:type="dxa"/>
            <w:tcBorders/>
            <w:vAlign w:val="bottom"/>
          </w:tcPr>
          <w:p>
            <w:pPr>
              <w:pStyle w:val="TableContents"/>
              <w:bidi w:val="0"/>
              <w:spacing w:before="0" w:after="283"/>
              <w:jc w:val="right"/>
              <w:rPr/>
            </w:pPr>
            <w:r>
              <w:rPr/>
              <w:t>849</w:t>
            </w:r>
          </w:p>
        </w:tc>
        <w:tc>
          <w:tcPr>
            <w:tcW w:w="158" w:type="dxa"/>
            <w:tcBorders/>
            <w:vAlign w:val="bottom"/>
          </w:tcPr>
          <w:p>
            <w:pPr>
              <w:pStyle w:val="TableContents"/>
              <w:bidi w:val="0"/>
              <w:spacing w:before="0" w:after="283"/>
              <w:jc w:val="left"/>
              <w:rPr/>
            </w:pPr>
            <w:r>
              <w:rPr/>
              <w:t> </w:t>
            </w:r>
          </w:p>
        </w:tc>
      </w:tr>
      <w:tr>
        <w:trPr/>
        <w:tc>
          <w:tcPr>
            <w:tcW w:w="49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income tax receivable</w:t>
            </w:r>
          </w:p>
        </w:tc>
        <w:tc>
          <w:tcPr>
            <w:tcW w:w="15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2179" w:type="dxa"/>
            <w:tcBorders/>
            <w:shd w:fill="CCEEFF" w:val="clear"/>
            <w:vAlign w:val="bottom"/>
          </w:tcPr>
          <w:p>
            <w:pPr>
              <w:pStyle w:val="TableContents"/>
              <w:bidi w:val="0"/>
              <w:spacing w:before="0" w:after="283"/>
              <w:jc w:val="right"/>
              <w:rPr/>
            </w:pPr>
            <w:r>
              <w:rPr/>
              <w:t>2,498</w:t>
            </w:r>
          </w:p>
        </w:tc>
        <w:tc>
          <w:tcPr>
            <w:tcW w:w="15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2234" w:type="dxa"/>
            <w:tcBorders/>
            <w:shd w:fill="CCEEFF" w:val="clear"/>
            <w:vAlign w:val="bottom"/>
          </w:tcPr>
          <w:p>
            <w:pPr>
              <w:pStyle w:val="TableContents"/>
              <w:bidi w:val="0"/>
              <w:spacing w:before="0" w:after="283"/>
              <w:jc w:val="right"/>
              <w:rPr/>
            </w:pPr>
            <w:r>
              <w:rPr/>
              <w:t>1,761</w:t>
            </w:r>
          </w:p>
        </w:tc>
        <w:tc>
          <w:tcPr>
            <w:tcW w:w="158" w:type="dxa"/>
            <w:tcBorders/>
            <w:shd w:fill="CCEEFF" w:val="clear"/>
            <w:vAlign w:val="bottom"/>
          </w:tcPr>
          <w:p>
            <w:pPr>
              <w:pStyle w:val="TableContents"/>
              <w:bidi w:val="0"/>
              <w:spacing w:before="0" w:after="283"/>
              <w:jc w:val="left"/>
              <w:rPr/>
            </w:pPr>
            <w:r>
              <w:rPr/>
              <w:t> </w:t>
            </w:r>
          </w:p>
        </w:tc>
      </w:tr>
      <w:tr>
        <w:trPr/>
        <w:tc>
          <w:tcPr>
            <w:tcW w:w="4920"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5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2179" w:type="dxa"/>
            <w:tcBorders/>
            <w:vAlign w:val="bottom"/>
          </w:tcPr>
          <w:p>
            <w:pPr>
              <w:pStyle w:val="TableContents"/>
              <w:bidi w:val="0"/>
              <w:spacing w:before="0" w:after="283"/>
              <w:jc w:val="right"/>
              <w:rPr/>
            </w:pPr>
            <w:r>
              <w:rPr/>
              <w:t>19,503</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2234" w:type="dxa"/>
            <w:tcBorders/>
            <w:vAlign w:val="bottom"/>
          </w:tcPr>
          <w:p>
            <w:pPr>
              <w:pStyle w:val="TableContents"/>
              <w:bidi w:val="0"/>
              <w:spacing w:before="0" w:after="283"/>
              <w:jc w:val="right"/>
              <w:rPr/>
            </w:pPr>
            <w:r>
              <w:rPr/>
              <w:t>24,251</w:t>
            </w:r>
          </w:p>
        </w:tc>
        <w:tc>
          <w:tcPr>
            <w:tcW w:w="158" w:type="dxa"/>
            <w:tcBorders/>
            <w:vAlign w:val="bottom"/>
          </w:tcPr>
          <w:p>
            <w:pPr>
              <w:pStyle w:val="TableContents"/>
              <w:bidi w:val="0"/>
              <w:spacing w:before="0" w:after="283"/>
              <w:jc w:val="left"/>
              <w:rPr/>
            </w:pPr>
            <w:r>
              <w:rPr/>
              <w:t> </w:t>
            </w:r>
          </w:p>
        </w:tc>
      </w:tr>
      <w:tr>
        <w:trPr/>
        <w:tc>
          <w:tcPr>
            <w:tcW w:w="492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21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223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920" w:type="dxa"/>
            <w:tcBorders/>
            <w:shd w:fill="CCEEFF" w:val="clear"/>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2179" w:type="dxa"/>
            <w:tcBorders/>
            <w:shd w:fill="CCEEFF" w:val="clear"/>
            <w:vAlign w:val="bottom"/>
          </w:tcPr>
          <w:p>
            <w:pPr>
              <w:pStyle w:val="TableContents"/>
              <w:bidi w:val="0"/>
              <w:spacing w:before="0" w:after="283"/>
              <w:jc w:val="right"/>
              <w:rPr>
                <w:b/>
              </w:rPr>
            </w:pPr>
            <w:r>
              <w:rPr>
                <w:b/>
              </w:rPr>
              <w:t>22,830</w:t>
            </w:r>
          </w:p>
        </w:tc>
        <w:tc>
          <w:tcPr>
            <w:tcW w:w="15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2234" w:type="dxa"/>
            <w:tcBorders/>
            <w:shd w:fill="CCEEFF" w:val="clear"/>
            <w:vAlign w:val="bottom"/>
          </w:tcPr>
          <w:p>
            <w:pPr>
              <w:pStyle w:val="TableContents"/>
              <w:bidi w:val="0"/>
              <w:spacing w:before="0" w:after="283"/>
              <w:jc w:val="right"/>
              <w:rPr>
                <w:b/>
              </w:rPr>
            </w:pPr>
            <w:r>
              <w:rPr>
                <w:b/>
              </w:rPr>
              <w:t>26,861</w:t>
            </w:r>
          </w:p>
        </w:tc>
        <w:tc>
          <w:tcPr>
            <w:tcW w:w="158" w:type="dxa"/>
            <w:tcBorders/>
            <w:shd w:fill="CCEEFF" w:val="clear"/>
            <w:vAlign w:val="bottom"/>
          </w:tcPr>
          <w:p>
            <w:pPr>
              <w:pStyle w:val="TableContents"/>
              <w:bidi w:val="0"/>
              <w:spacing w:before="0" w:after="283"/>
              <w:jc w:val="left"/>
              <w:rPr/>
            </w:pPr>
            <w:r>
              <w:rPr/>
              <w:t> </w:t>
            </w:r>
          </w:p>
        </w:tc>
      </w:tr>
      <w:tr>
        <w:trPr/>
        <w:tc>
          <w:tcPr>
            <w:tcW w:w="492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21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223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9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15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2179" w:type="dxa"/>
            <w:tcBorders/>
            <w:vAlign w:val="bottom"/>
          </w:tcPr>
          <w:p>
            <w:pPr>
              <w:pStyle w:val="TableContents"/>
              <w:bidi w:val="0"/>
              <w:spacing w:before="0" w:after="283"/>
              <w:jc w:val="right"/>
              <w:rPr>
                <w:b/>
              </w:rPr>
            </w:pPr>
            <w:r>
              <w:rPr>
                <w:b/>
              </w:rPr>
              <w:t>25,783</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2234" w:type="dxa"/>
            <w:tcBorders/>
            <w:vAlign w:val="bottom"/>
          </w:tcPr>
          <w:p>
            <w:pPr>
              <w:pStyle w:val="TableContents"/>
              <w:bidi w:val="0"/>
              <w:spacing w:before="0" w:after="283"/>
              <w:jc w:val="right"/>
              <w:rPr>
                <w:b/>
              </w:rPr>
            </w:pPr>
            <w:r>
              <w:rPr>
                <w:b/>
              </w:rPr>
              <w:t>29,834</w:t>
            </w:r>
          </w:p>
        </w:tc>
        <w:tc>
          <w:tcPr>
            <w:tcW w:w="158" w:type="dxa"/>
            <w:tcBorders/>
            <w:vAlign w:val="bottom"/>
          </w:tcPr>
          <w:p>
            <w:pPr>
              <w:pStyle w:val="TableContents"/>
              <w:bidi w:val="0"/>
              <w:spacing w:before="0" w:after="283"/>
              <w:jc w:val="left"/>
              <w:rPr/>
            </w:pPr>
            <w:r>
              <w:rPr/>
              <w:t> </w:t>
            </w:r>
          </w:p>
        </w:tc>
      </w:tr>
      <w:tr>
        <w:trPr/>
        <w:tc>
          <w:tcPr>
            <w:tcW w:w="492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217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223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92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Equity and liabilities</w:t>
            </w:r>
          </w:p>
        </w:tc>
        <w:tc>
          <w:tcPr>
            <w:tcW w:w="15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217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223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4920" w:type="dxa"/>
            <w:tcBorders/>
          </w:tcPr>
          <w:p>
            <w:pPr>
              <w:pStyle w:val="TableContents"/>
              <w:bidi w:val="0"/>
              <w:spacing w:before="0" w:after="0"/>
              <w:jc w:val="left"/>
              <w:rPr>
                <w:rFonts w:ascii="Times New Roman" w:hAnsi="Times New Roman"/>
                <w:b/>
                <w:sz w:val="20"/>
              </w:rPr>
            </w:pPr>
            <w:r>
              <w:rPr>
                <w:rFonts w:ascii="Times New Roman" w:hAnsi="Times New Roman"/>
                <w:b/>
                <w:sz w:val="20"/>
              </w:rPr>
              <w:t>Capital and reserves</w:t>
            </w:r>
          </w:p>
        </w:tc>
        <w:tc>
          <w:tcPr>
            <w:tcW w:w="15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217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2234"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49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 capital and share premium</w:t>
            </w:r>
          </w:p>
        </w:tc>
        <w:tc>
          <w:tcPr>
            <w:tcW w:w="15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2179" w:type="dxa"/>
            <w:tcBorders/>
            <w:shd w:fill="CCEEFF" w:val="clear"/>
            <w:vAlign w:val="bottom"/>
          </w:tcPr>
          <w:p>
            <w:pPr>
              <w:pStyle w:val="TableContents"/>
              <w:bidi w:val="0"/>
              <w:spacing w:before="0" w:after="283"/>
              <w:jc w:val="right"/>
              <w:rPr/>
            </w:pPr>
            <w:r>
              <w:rPr/>
              <w:t>189,657</w:t>
            </w:r>
          </w:p>
        </w:tc>
        <w:tc>
          <w:tcPr>
            <w:tcW w:w="15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2234" w:type="dxa"/>
            <w:tcBorders/>
            <w:shd w:fill="CCEEFF" w:val="clear"/>
            <w:vAlign w:val="bottom"/>
          </w:tcPr>
          <w:p>
            <w:pPr>
              <w:pStyle w:val="TableContents"/>
              <w:bidi w:val="0"/>
              <w:spacing w:before="0" w:after="283"/>
              <w:jc w:val="right"/>
              <w:rPr/>
            </w:pPr>
            <w:r>
              <w:rPr/>
              <w:t>189,586</w:t>
            </w:r>
          </w:p>
        </w:tc>
        <w:tc>
          <w:tcPr>
            <w:tcW w:w="158" w:type="dxa"/>
            <w:tcBorders/>
            <w:shd w:fill="CCEEFF" w:val="clear"/>
            <w:vAlign w:val="bottom"/>
          </w:tcPr>
          <w:p>
            <w:pPr>
              <w:pStyle w:val="TableContents"/>
              <w:bidi w:val="0"/>
              <w:spacing w:before="0" w:after="283"/>
              <w:jc w:val="left"/>
              <w:rPr/>
            </w:pPr>
            <w:r>
              <w:rPr/>
              <w:t> </w:t>
            </w:r>
          </w:p>
        </w:tc>
      </w:tr>
      <w:tr>
        <w:trPr/>
        <w:tc>
          <w:tcPr>
            <w:tcW w:w="4920" w:type="dxa"/>
            <w:tcBorders/>
          </w:tcPr>
          <w:p>
            <w:pPr>
              <w:pStyle w:val="TableContents"/>
              <w:bidi w:val="0"/>
              <w:spacing w:before="0" w:after="0"/>
              <w:jc w:val="left"/>
              <w:rPr>
                <w:rFonts w:ascii="Times New Roman" w:hAnsi="Times New Roman"/>
                <w:sz w:val="20"/>
              </w:rPr>
            </w:pPr>
            <w:r>
              <w:rPr>
                <w:rFonts w:ascii="Times New Roman" w:hAnsi="Times New Roman"/>
                <w:sz w:val="20"/>
              </w:rPr>
              <w:t>Other reserves</w:t>
            </w:r>
          </w:p>
        </w:tc>
        <w:tc>
          <w:tcPr>
            <w:tcW w:w="15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2179" w:type="dxa"/>
            <w:tcBorders/>
            <w:vAlign w:val="bottom"/>
          </w:tcPr>
          <w:p>
            <w:pPr>
              <w:pStyle w:val="TableContents"/>
              <w:bidi w:val="0"/>
              <w:spacing w:before="0" w:after="283"/>
              <w:jc w:val="right"/>
              <w:rPr/>
            </w:pPr>
            <w:r>
              <w:rPr/>
              <w:t>84,352</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2234" w:type="dxa"/>
            <w:tcBorders/>
            <w:vAlign w:val="bottom"/>
          </w:tcPr>
          <w:p>
            <w:pPr>
              <w:pStyle w:val="TableContents"/>
              <w:bidi w:val="0"/>
              <w:spacing w:before="0" w:after="283"/>
              <w:jc w:val="right"/>
              <w:rPr/>
            </w:pPr>
            <w:r>
              <w:rPr/>
              <w:t>87,075</w:t>
            </w:r>
          </w:p>
        </w:tc>
        <w:tc>
          <w:tcPr>
            <w:tcW w:w="158" w:type="dxa"/>
            <w:tcBorders/>
            <w:vAlign w:val="bottom"/>
          </w:tcPr>
          <w:p>
            <w:pPr>
              <w:pStyle w:val="TableContents"/>
              <w:bidi w:val="0"/>
              <w:spacing w:before="0" w:after="283"/>
              <w:jc w:val="left"/>
              <w:rPr/>
            </w:pPr>
            <w:r>
              <w:rPr/>
              <w:t> </w:t>
            </w:r>
          </w:p>
        </w:tc>
      </w:tr>
      <w:tr>
        <w:trPr/>
        <w:tc>
          <w:tcPr>
            <w:tcW w:w="49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15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2179" w:type="dxa"/>
            <w:tcBorders/>
            <w:shd w:fill="CCEEFF" w:val="clear"/>
            <w:vAlign w:val="bottom"/>
          </w:tcPr>
          <w:p>
            <w:pPr>
              <w:pStyle w:val="TableContents"/>
              <w:bidi w:val="0"/>
              <w:spacing w:before="0" w:after="283"/>
              <w:jc w:val="right"/>
              <w:rPr/>
            </w:pPr>
            <w:r>
              <w:rPr/>
              <w:t>(253,749</w:t>
            </w:r>
          </w:p>
        </w:tc>
        <w:tc>
          <w:tcPr>
            <w:tcW w:w="15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2234" w:type="dxa"/>
            <w:tcBorders/>
            <w:shd w:fill="CCEEFF" w:val="clear"/>
            <w:vAlign w:val="bottom"/>
          </w:tcPr>
          <w:p>
            <w:pPr>
              <w:pStyle w:val="TableContents"/>
              <w:bidi w:val="0"/>
              <w:spacing w:before="0" w:after="283"/>
              <w:jc w:val="right"/>
              <w:rPr/>
            </w:pPr>
            <w:r>
              <w:rPr/>
              <w:t>(252,334</w:t>
            </w:r>
          </w:p>
        </w:tc>
        <w:tc>
          <w:tcPr>
            <w:tcW w:w="158" w:type="dxa"/>
            <w:tcBorders/>
            <w:shd w:fill="CCEEFF" w:val="clear"/>
            <w:vAlign w:val="bottom"/>
          </w:tcPr>
          <w:p>
            <w:pPr>
              <w:pStyle w:val="TableContents"/>
              <w:bidi w:val="0"/>
              <w:spacing w:before="0" w:after="283"/>
              <w:jc w:val="left"/>
              <w:rPr/>
            </w:pPr>
            <w:r>
              <w:rPr/>
              <w:t>) </w:t>
            </w:r>
          </w:p>
        </w:tc>
      </w:tr>
      <w:tr>
        <w:trPr/>
        <w:tc>
          <w:tcPr>
            <w:tcW w:w="492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21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223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9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equity attributable to equity holders of the Company</w:t>
            </w:r>
          </w:p>
        </w:tc>
        <w:tc>
          <w:tcPr>
            <w:tcW w:w="15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2179" w:type="dxa"/>
            <w:tcBorders/>
            <w:vAlign w:val="bottom"/>
          </w:tcPr>
          <w:p>
            <w:pPr>
              <w:pStyle w:val="TableContents"/>
              <w:bidi w:val="0"/>
              <w:spacing w:before="0" w:after="283"/>
              <w:jc w:val="right"/>
              <w:rPr>
                <w:b/>
              </w:rPr>
            </w:pPr>
            <w:r>
              <w:rPr>
                <w:b/>
              </w:rPr>
              <w:t>20,260</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2234" w:type="dxa"/>
            <w:tcBorders/>
            <w:vAlign w:val="bottom"/>
          </w:tcPr>
          <w:p>
            <w:pPr>
              <w:pStyle w:val="TableContents"/>
              <w:bidi w:val="0"/>
              <w:spacing w:before="0" w:after="283"/>
              <w:jc w:val="right"/>
              <w:rPr>
                <w:b/>
              </w:rPr>
            </w:pPr>
            <w:r>
              <w:rPr>
                <w:b/>
              </w:rPr>
              <w:t>24,327</w:t>
            </w:r>
          </w:p>
        </w:tc>
        <w:tc>
          <w:tcPr>
            <w:tcW w:w="158" w:type="dxa"/>
            <w:tcBorders/>
            <w:vAlign w:val="bottom"/>
          </w:tcPr>
          <w:p>
            <w:pPr>
              <w:pStyle w:val="TableContents"/>
              <w:bidi w:val="0"/>
              <w:spacing w:before="0" w:after="283"/>
              <w:jc w:val="left"/>
              <w:rPr/>
            </w:pPr>
            <w:r>
              <w:rPr/>
              <w:t> </w:t>
            </w:r>
          </w:p>
        </w:tc>
      </w:tr>
      <w:tr>
        <w:trPr/>
        <w:tc>
          <w:tcPr>
            <w:tcW w:w="492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21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223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92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Non-current liabilities</w:t>
            </w:r>
          </w:p>
        </w:tc>
        <w:tc>
          <w:tcPr>
            <w:tcW w:w="15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217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223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4920" w:type="dxa"/>
            <w:tcBorders/>
          </w:tcPr>
          <w:p>
            <w:pPr>
              <w:pStyle w:val="TableContents"/>
              <w:bidi w:val="0"/>
              <w:spacing w:before="0" w:after="0"/>
              <w:jc w:val="left"/>
              <w:rPr>
                <w:rFonts w:ascii="Times New Roman" w:hAnsi="Times New Roman"/>
                <w:sz w:val="20"/>
              </w:rPr>
            </w:pPr>
            <w:r>
              <w:rPr>
                <w:rFonts w:ascii="Times New Roman" w:hAnsi="Times New Roman"/>
                <w:sz w:val="20"/>
              </w:rPr>
              <w:t>Provisions</w:t>
            </w:r>
          </w:p>
        </w:tc>
        <w:tc>
          <w:tcPr>
            <w:tcW w:w="15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2179" w:type="dxa"/>
            <w:tcBorders/>
            <w:vAlign w:val="bottom"/>
          </w:tcPr>
          <w:p>
            <w:pPr>
              <w:pStyle w:val="TableContents"/>
              <w:bidi w:val="0"/>
              <w:spacing w:before="0" w:after="283"/>
              <w:jc w:val="right"/>
              <w:rPr/>
            </w:pPr>
            <w:r>
              <w:rPr/>
              <w:t>58</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2234" w:type="dxa"/>
            <w:tcBorders/>
            <w:vAlign w:val="bottom"/>
          </w:tcPr>
          <w:p>
            <w:pPr>
              <w:pStyle w:val="TableContents"/>
              <w:bidi w:val="0"/>
              <w:spacing w:before="0" w:after="283"/>
              <w:jc w:val="right"/>
              <w:rPr/>
            </w:pPr>
            <w:r>
              <w:rPr/>
              <w:t>58</w:t>
            </w:r>
          </w:p>
        </w:tc>
        <w:tc>
          <w:tcPr>
            <w:tcW w:w="158" w:type="dxa"/>
            <w:tcBorders/>
            <w:vAlign w:val="bottom"/>
          </w:tcPr>
          <w:p>
            <w:pPr>
              <w:pStyle w:val="TableContents"/>
              <w:bidi w:val="0"/>
              <w:spacing w:before="0" w:after="283"/>
              <w:jc w:val="left"/>
              <w:rPr/>
            </w:pPr>
            <w:r>
              <w:rPr/>
              <w:t> </w:t>
            </w:r>
          </w:p>
        </w:tc>
      </w:tr>
      <w:tr>
        <w:trPr/>
        <w:tc>
          <w:tcPr>
            <w:tcW w:w="49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15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2179" w:type="dxa"/>
            <w:tcBorders/>
            <w:shd w:fill="CCEEFF" w:val="clear"/>
            <w:vAlign w:val="bottom"/>
          </w:tcPr>
          <w:p>
            <w:pPr>
              <w:pStyle w:val="TableContents"/>
              <w:bidi w:val="0"/>
              <w:spacing w:before="0" w:after="283"/>
              <w:jc w:val="right"/>
              <w:rPr/>
            </w:pPr>
            <w:r>
              <w:rPr/>
              <w:t>637</w:t>
            </w:r>
          </w:p>
        </w:tc>
        <w:tc>
          <w:tcPr>
            <w:tcW w:w="15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2234" w:type="dxa"/>
            <w:tcBorders/>
            <w:shd w:fill="CCEEFF" w:val="clear"/>
            <w:vAlign w:val="bottom"/>
          </w:tcPr>
          <w:p>
            <w:pPr>
              <w:pStyle w:val="TableContents"/>
              <w:bidi w:val="0"/>
              <w:spacing w:before="0" w:after="283"/>
              <w:jc w:val="right"/>
              <w:rPr/>
            </w:pPr>
            <w:r>
              <w:rPr/>
              <w:t>656</w:t>
            </w:r>
          </w:p>
        </w:tc>
        <w:tc>
          <w:tcPr>
            <w:tcW w:w="158" w:type="dxa"/>
            <w:tcBorders/>
            <w:shd w:fill="CCEEFF" w:val="clear"/>
            <w:vAlign w:val="bottom"/>
          </w:tcPr>
          <w:p>
            <w:pPr>
              <w:pStyle w:val="TableContents"/>
              <w:bidi w:val="0"/>
              <w:spacing w:before="0" w:after="283"/>
              <w:jc w:val="left"/>
              <w:rPr/>
            </w:pPr>
            <w:r>
              <w:rPr/>
              <w:t> </w:t>
            </w:r>
          </w:p>
        </w:tc>
      </w:tr>
      <w:tr>
        <w:trPr/>
        <w:tc>
          <w:tcPr>
            <w:tcW w:w="492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21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223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920" w:type="dxa"/>
            <w:tcBorders/>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2179" w:type="dxa"/>
            <w:tcBorders/>
            <w:vAlign w:val="bottom"/>
          </w:tcPr>
          <w:p>
            <w:pPr>
              <w:pStyle w:val="TableContents"/>
              <w:bidi w:val="0"/>
              <w:spacing w:before="0" w:after="283"/>
              <w:jc w:val="right"/>
              <w:rPr>
                <w:b/>
              </w:rPr>
            </w:pPr>
            <w:r>
              <w:rPr>
                <w:b/>
              </w:rPr>
              <w:t>695</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2234" w:type="dxa"/>
            <w:tcBorders/>
            <w:vAlign w:val="bottom"/>
          </w:tcPr>
          <w:p>
            <w:pPr>
              <w:pStyle w:val="TableContents"/>
              <w:bidi w:val="0"/>
              <w:spacing w:before="0" w:after="283"/>
              <w:jc w:val="right"/>
              <w:rPr>
                <w:b/>
              </w:rPr>
            </w:pPr>
            <w:r>
              <w:rPr>
                <w:b/>
              </w:rPr>
              <w:t>714</w:t>
            </w:r>
          </w:p>
        </w:tc>
        <w:tc>
          <w:tcPr>
            <w:tcW w:w="158" w:type="dxa"/>
            <w:tcBorders/>
            <w:vAlign w:val="bottom"/>
          </w:tcPr>
          <w:p>
            <w:pPr>
              <w:pStyle w:val="TableContents"/>
              <w:bidi w:val="0"/>
              <w:spacing w:before="0" w:after="283"/>
              <w:jc w:val="left"/>
              <w:rPr/>
            </w:pPr>
            <w:r>
              <w:rPr/>
              <w:t> </w:t>
            </w:r>
          </w:p>
        </w:tc>
      </w:tr>
      <w:tr>
        <w:trPr/>
        <w:tc>
          <w:tcPr>
            <w:tcW w:w="492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Current liabilities</w:t>
            </w:r>
          </w:p>
        </w:tc>
        <w:tc>
          <w:tcPr>
            <w:tcW w:w="15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217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223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4920" w:type="dxa"/>
            <w:tcBorders/>
          </w:tcPr>
          <w:p>
            <w:pPr>
              <w:pStyle w:val="TableContents"/>
              <w:bidi w:val="0"/>
              <w:spacing w:before="0" w:after="0"/>
              <w:jc w:val="left"/>
              <w:rPr>
                <w:rFonts w:ascii="Times New Roman" w:hAnsi="Times New Roman"/>
                <w:sz w:val="20"/>
              </w:rPr>
            </w:pPr>
            <w:r>
              <w:rPr>
                <w:rFonts w:ascii="Times New Roman" w:hAnsi="Times New Roman"/>
                <w:sz w:val="20"/>
              </w:rPr>
              <w:t>Trade payables</w:t>
            </w:r>
          </w:p>
        </w:tc>
        <w:tc>
          <w:tcPr>
            <w:tcW w:w="15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2179" w:type="dxa"/>
            <w:tcBorders/>
            <w:vAlign w:val="bottom"/>
          </w:tcPr>
          <w:p>
            <w:pPr>
              <w:pStyle w:val="TableContents"/>
              <w:bidi w:val="0"/>
              <w:spacing w:before="0" w:after="283"/>
              <w:jc w:val="right"/>
              <w:rPr/>
            </w:pPr>
            <w:r>
              <w:rPr/>
              <w:t>450</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2234" w:type="dxa"/>
            <w:tcBorders/>
            <w:vAlign w:val="bottom"/>
          </w:tcPr>
          <w:p>
            <w:pPr>
              <w:pStyle w:val="TableContents"/>
              <w:bidi w:val="0"/>
              <w:spacing w:before="0" w:after="283"/>
              <w:jc w:val="right"/>
              <w:rPr/>
            </w:pPr>
            <w:r>
              <w:rPr/>
              <w:t>522</w:t>
            </w:r>
          </w:p>
        </w:tc>
        <w:tc>
          <w:tcPr>
            <w:tcW w:w="158" w:type="dxa"/>
            <w:tcBorders/>
            <w:vAlign w:val="bottom"/>
          </w:tcPr>
          <w:p>
            <w:pPr>
              <w:pStyle w:val="TableContents"/>
              <w:bidi w:val="0"/>
              <w:spacing w:before="0" w:after="283"/>
              <w:jc w:val="left"/>
              <w:rPr/>
            </w:pPr>
            <w:r>
              <w:rPr/>
              <w:t> </w:t>
            </w:r>
          </w:p>
        </w:tc>
      </w:tr>
      <w:tr>
        <w:trPr/>
        <w:tc>
          <w:tcPr>
            <w:tcW w:w="49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Payroll taxes and social security</w:t>
            </w:r>
          </w:p>
        </w:tc>
        <w:tc>
          <w:tcPr>
            <w:tcW w:w="15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2179" w:type="dxa"/>
            <w:tcBorders/>
            <w:shd w:fill="CCEEFF" w:val="clear"/>
            <w:vAlign w:val="bottom"/>
          </w:tcPr>
          <w:p>
            <w:pPr>
              <w:pStyle w:val="TableContents"/>
              <w:bidi w:val="0"/>
              <w:spacing w:before="0" w:after="283"/>
              <w:jc w:val="right"/>
              <w:rPr/>
            </w:pPr>
            <w:r>
              <w:rPr/>
              <w:t>125</w:t>
            </w:r>
          </w:p>
        </w:tc>
        <w:tc>
          <w:tcPr>
            <w:tcW w:w="15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2234" w:type="dxa"/>
            <w:tcBorders/>
            <w:shd w:fill="CCEEFF" w:val="clear"/>
            <w:vAlign w:val="bottom"/>
          </w:tcPr>
          <w:p>
            <w:pPr>
              <w:pStyle w:val="TableContents"/>
              <w:bidi w:val="0"/>
              <w:spacing w:before="0" w:after="283"/>
              <w:jc w:val="right"/>
              <w:rPr/>
            </w:pPr>
            <w:r>
              <w:rPr/>
              <w:t>99</w:t>
            </w:r>
          </w:p>
        </w:tc>
        <w:tc>
          <w:tcPr>
            <w:tcW w:w="158" w:type="dxa"/>
            <w:tcBorders/>
            <w:shd w:fill="CCEEFF" w:val="clear"/>
            <w:vAlign w:val="bottom"/>
          </w:tcPr>
          <w:p>
            <w:pPr>
              <w:pStyle w:val="TableContents"/>
              <w:bidi w:val="0"/>
              <w:spacing w:before="0" w:after="283"/>
              <w:jc w:val="left"/>
              <w:rPr/>
            </w:pPr>
            <w:r>
              <w:rPr/>
              <w:t> </w:t>
            </w:r>
          </w:p>
        </w:tc>
      </w:tr>
      <w:tr>
        <w:trPr/>
        <w:tc>
          <w:tcPr>
            <w:tcW w:w="4920"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expenditure</w:t>
            </w:r>
          </w:p>
        </w:tc>
        <w:tc>
          <w:tcPr>
            <w:tcW w:w="15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2179" w:type="dxa"/>
            <w:tcBorders/>
            <w:vAlign w:val="bottom"/>
          </w:tcPr>
          <w:p>
            <w:pPr>
              <w:pStyle w:val="TableContents"/>
              <w:bidi w:val="0"/>
              <w:spacing w:before="0" w:after="283"/>
              <w:jc w:val="right"/>
              <w:rPr/>
            </w:pPr>
            <w:r>
              <w:rPr/>
              <w:t>4,218</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2234" w:type="dxa"/>
            <w:tcBorders/>
            <w:vAlign w:val="bottom"/>
          </w:tcPr>
          <w:p>
            <w:pPr>
              <w:pStyle w:val="TableContents"/>
              <w:bidi w:val="0"/>
              <w:spacing w:before="0" w:after="283"/>
              <w:jc w:val="right"/>
              <w:rPr/>
            </w:pPr>
            <w:r>
              <w:rPr/>
              <w:t>4,152</w:t>
            </w:r>
          </w:p>
        </w:tc>
        <w:tc>
          <w:tcPr>
            <w:tcW w:w="158" w:type="dxa"/>
            <w:tcBorders/>
            <w:vAlign w:val="bottom"/>
          </w:tcPr>
          <w:p>
            <w:pPr>
              <w:pStyle w:val="TableContents"/>
              <w:bidi w:val="0"/>
              <w:spacing w:before="0" w:after="283"/>
              <w:jc w:val="left"/>
              <w:rPr/>
            </w:pPr>
            <w:r>
              <w:rPr/>
              <w:t> </w:t>
            </w:r>
          </w:p>
        </w:tc>
      </w:tr>
      <w:tr>
        <w:trPr/>
        <w:tc>
          <w:tcPr>
            <w:tcW w:w="49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15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2179" w:type="dxa"/>
            <w:tcBorders/>
            <w:shd w:fill="CCEEFF" w:val="clear"/>
            <w:vAlign w:val="bottom"/>
          </w:tcPr>
          <w:p>
            <w:pPr>
              <w:pStyle w:val="TableContents"/>
              <w:bidi w:val="0"/>
              <w:spacing w:before="0" w:after="283"/>
              <w:jc w:val="right"/>
              <w:rPr/>
            </w:pPr>
            <w:r>
              <w:rPr/>
              <w:t>35</w:t>
            </w:r>
          </w:p>
        </w:tc>
        <w:tc>
          <w:tcPr>
            <w:tcW w:w="15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2234" w:type="dxa"/>
            <w:tcBorders/>
            <w:shd w:fill="CCEEFF" w:val="clear"/>
            <w:vAlign w:val="bottom"/>
          </w:tcPr>
          <w:p>
            <w:pPr>
              <w:pStyle w:val="TableContents"/>
              <w:bidi w:val="0"/>
              <w:spacing w:before="0" w:after="283"/>
              <w:jc w:val="right"/>
              <w:rPr/>
            </w:pPr>
            <w:r>
              <w:rPr/>
              <w:t>20</w:t>
            </w:r>
          </w:p>
        </w:tc>
        <w:tc>
          <w:tcPr>
            <w:tcW w:w="158" w:type="dxa"/>
            <w:tcBorders/>
            <w:shd w:fill="CCEEFF" w:val="clear"/>
            <w:vAlign w:val="bottom"/>
          </w:tcPr>
          <w:p>
            <w:pPr>
              <w:pStyle w:val="TableContents"/>
              <w:bidi w:val="0"/>
              <w:spacing w:before="0" w:after="283"/>
              <w:jc w:val="left"/>
              <w:rPr/>
            </w:pPr>
            <w:r>
              <w:rPr/>
              <w:t> </w:t>
            </w:r>
          </w:p>
        </w:tc>
      </w:tr>
      <w:tr>
        <w:trPr/>
        <w:tc>
          <w:tcPr>
            <w:tcW w:w="492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21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223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920" w:type="dxa"/>
            <w:tcBorders/>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2179" w:type="dxa"/>
            <w:tcBorders/>
            <w:vAlign w:val="bottom"/>
          </w:tcPr>
          <w:p>
            <w:pPr>
              <w:pStyle w:val="TableContents"/>
              <w:bidi w:val="0"/>
              <w:spacing w:before="0" w:after="283"/>
              <w:jc w:val="right"/>
              <w:rPr>
                <w:b/>
              </w:rPr>
            </w:pPr>
            <w:r>
              <w:rPr>
                <w:b/>
              </w:rPr>
              <w:t>4,828</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2234" w:type="dxa"/>
            <w:tcBorders/>
            <w:vAlign w:val="bottom"/>
          </w:tcPr>
          <w:p>
            <w:pPr>
              <w:pStyle w:val="TableContents"/>
              <w:bidi w:val="0"/>
              <w:spacing w:before="0" w:after="283"/>
              <w:jc w:val="right"/>
              <w:rPr>
                <w:b/>
              </w:rPr>
            </w:pPr>
            <w:r>
              <w:rPr>
                <w:b/>
              </w:rPr>
              <w:t>4,793</w:t>
            </w:r>
          </w:p>
        </w:tc>
        <w:tc>
          <w:tcPr>
            <w:tcW w:w="158" w:type="dxa"/>
            <w:tcBorders/>
            <w:vAlign w:val="bottom"/>
          </w:tcPr>
          <w:p>
            <w:pPr>
              <w:pStyle w:val="TableContents"/>
              <w:bidi w:val="0"/>
              <w:spacing w:before="0" w:after="283"/>
              <w:jc w:val="left"/>
              <w:rPr/>
            </w:pPr>
            <w:r>
              <w:rPr/>
              <w:t> </w:t>
            </w:r>
          </w:p>
        </w:tc>
      </w:tr>
      <w:tr>
        <w:trPr/>
        <w:tc>
          <w:tcPr>
            <w:tcW w:w="492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15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2179" w:type="dxa"/>
            <w:tcBorders/>
            <w:shd w:fill="CCEEFF" w:val="clear"/>
            <w:vAlign w:val="bottom"/>
          </w:tcPr>
          <w:p>
            <w:pPr>
              <w:pStyle w:val="TableContents"/>
              <w:bidi w:val="0"/>
              <w:spacing w:before="0" w:after="283"/>
              <w:jc w:val="right"/>
              <w:rPr>
                <w:b/>
              </w:rPr>
            </w:pPr>
            <w:r>
              <w:rPr>
                <w:b/>
              </w:rPr>
              <w:t>5,523</w:t>
            </w:r>
          </w:p>
        </w:tc>
        <w:tc>
          <w:tcPr>
            <w:tcW w:w="15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2234" w:type="dxa"/>
            <w:tcBorders/>
            <w:shd w:fill="CCEEFF" w:val="clear"/>
            <w:vAlign w:val="bottom"/>
          </w:tcPr>
          <w:p>
            <w:pPr>
              <w:pStyle w:val="TableContents"/>
              <w:bidi w:val="0"/>
              <w:spacing w:before="0" w:after="283"/>
              <w:jc w:val="right"/>
              <w:rPr>
                <w:b/>
              </w:rPr>
            </w:pPr>
            <w:r>
              <w:rPr>
                <w:b/>
              </w:rPr>
              <w:t>5,507</w:t>
            </w:r>
          </w:p>
        </w:tc>
        <w:tc>
          <w:tcPr>
            <w:tcW w:w="158" w:type="dxa"/>
            <w:tcBorders/>
            <w:shd w:fill="CCEEFF" w:val="clear"/>
            <w:vAlign w:val="bottom"/>
          </w:tcPr>
          <w:p>
            <w:pPr>
              <w:pStyle w:val="TableContents"/>
              <w:bidi w:val="0"/>
              <w:spacing w:before="0" w:after="283"/>
              <w:jc w:val="left"/>
              <w:rPr/>
            </w:pPr>
            <w:r>
              <w:rPr/>
              <w:t> </w:t>
            </w:r>
          </w:p>
        </w:tc>
      </w:tr>
      <w:tr>
        <w:trPr/>
        <w:tc>
          <w:tcPr>
            <w:tcW w:w="492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21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223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9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equity and liabilities</w:t>
            </w:r>
          </w:p>
        </w:tc>
        <w:tc>
          <w:tcPr>
            <w:tcW w:w="15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2179" w:type="dxa"/>
            <w:tcBorders/>
            <w:vAlign w:val="bottom"/>
          </w:tcPr>
          <w:p>
            <w:pPr>
              <w:pStyle w:val="TableContents"/>
              <w:bidi w:val="0"/>
              <w:spacing w:before="0" w:after="283"/>
              <w:jc w:val="right"/>
              <w:rPr>
                <w:b/>
              </w:rPr>
            </w:pPr>
            <w:r>
              <w:rPr>
                <w:b/>
              </w:rPr>
              <w:t>25,783</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2234" w:type="dxa"/>
            <w:tcBorders/>
            <w:vAlign w:val="bottom"/>
          </w:tcPr>
          <w:p>
            <w:pPr>
              <w:pStyle w:val="TableContents"/>
              <w:bidi w:val="0"/>
              <w:spacing w:before="0" w:after="283"/>
              <w:jc w:val="right"/>
              <w:rPr>
                <w:b/>
              </w:rPr>
            </w:pPr>
            <w:r>
              <w:rPr>
                <w:b/>
              </w:rPr>
              <w:t>29,834</w:t>
            </w:r>
          </w:p>
        </w:tc>
        <w:tc>
          <w:tcPr>
            <w:tcW w:w="158" w:type="dxa"/>
            <w:tcBorders/>
            <w:vAlign w:val="bottom"/>
          </w:tcPr>
          <w:p>
            <w:pPr>
              <w:pStyle w:val="TableContents"/>
              <w:bidi w:val="0"/>
              <w:spacing w:before="0" w:after="283"/>
              <w:jc w:val="left"/>
              <w:rPr/>
            </w:pPr>
            <w:r>
              <w:rPr/>
              <w:t> </w:t>
            </w:r>
          </w:p>
        </w:tc>
      </w:tr>
      <w:tr>
        <w:trPr/>
        <w:tc>
          <w:tcPr>
            <w:tcW w:w="492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217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223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Unaudited Condensed Consolidated Statements of Cash Flows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090"/>
        <w:gridCol w:w="169"/>
        <w:gridCol w:w="137"/>
        <w:gridCol w:w="1567"/>
        <w:gridCol w:w="238"/>
        <w:gridCol w:w="142"/>
        <w:gridCol w:w="124"/>
        <w:gridCol w:w="1579"/>
        <w:gridCol w:w="159"/>
      </w:tblGrid>
      <w:tr>
        <w:trPr/>
        <w:tc>
          <w:tcPr>
            <w:tcW w:w="6090" w:type="dxa"/>
            <w:tcBorders/>
            <w:vAlign w:val="center"/>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9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3787" w:type="dxa"/>
            <w:gridSpan w:val="6"/>
            <w:tcBorders/>
            <w:vAlign w:val="bottom"/>
          </w:tcPr>
          <w:p>
            <w:pPr>
              <w:pStyle w:val="TableContents"/>
              <w:bidi w:val="0"/>
              <w:spacing w:before="0" w:after="283"/>
              <w:jc w:val="center"/>
              <w:rPr>
                <w:b/>
              </w:rPr>
            </w:pPr>
            <w:r>
              <w:rPr>
                <w:b/>
              </w:rPr>
              <w:t>For the Six Months Ended</w:t>
              <w:br/>
              <w:t>June 30,</w:t>
            </w:r>
          </w:p>
        </w:tc>
        <w:tc>
          <w:tcPr>
            <w:tcW w:w="159" w:type="dxa"/>
            <w:tcBorders/>
            <w:vAlign w:val="bottom"/>
          </w:tcPr>
          <w:p>
            <w:pPr>
              <w:pStyle w:val="TableContents"/>
              <w:bidi w:val="0"/>
              <w:spacing w:before="0" w:after="283"/>
              <w:jc w:val="left"/>
              <w:rPr/>
            </w:pPr>
            <w:r>
              <w:rPr/>
              <w:t> </w:t>
            </w:r>
          </w:p>
        </w:tc>
      </w:tr>
      <w:tr>
        <w:trPr/>
        <w:tc>
          <w:tcPr>
            <w:tcW w:w="609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704"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23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03"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159" w:type="dxa"/>
            <w:tcBorders/>
            <w:vAlign w:val="bottom"/>
          </w:tcPr>
          <w:p>
            <w:pPr>
              <w:pStyle w:val="TableContents"/>
              <w:bidi w:val="0"/>
              <w:spacing w:before="0" w:after="283"/>
              <w:jc w:val="left"/>
              <w:rPr/>
            </w:pPr>
            <w:r>
              <w:rPr/>
              <w:t> </w:t>
            </w:r>
          </w:p>
        </w:tc>
      </w:tr>
      <w:tr>
        <w:trPr/>
        <w:tc>
          <w:tcPr>
            <w:tcW w:w="609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3787" w:type="dxa"/>
            <w:gridSpan w:val="6"/>
            <w:tcBorders/>
            <w:vAlign w:val="bottom"/>
          </w:tcPr>
          <w:p>
            <w:pPr>
              <w:pStyle w:val="TableContents"/>
              <w:bidi w:val="0"/>
              <w:spacing w:before="0" w:after="283"/>
              <w:jc w:val="center"/>
              <w:rPr>
                <w:b/>
              </w:rPr>
            </w:pPr>
            <w:r>
              <w:rPr>
                <w:b/>
              </w:rPr>
              <w:t>(in thousands)</w:t>
            </w:r>
          </w:p>
        </w:tc>
        <w:tc>
          <w:tcPr>
            <w:tcW w:w="159" w:type="dxa"/>
            <w:tcBorders/>
            <w:vAlign w:val="bottom"/>
          </w:tcPr>
          <w:p>
            <w:pPr>
              <w:pStyle w:val="TableContents"/>
              <w:bidi w:val="0"/>
              <w:spacing w:before="0" w:after="283"/>
              <w:jc w:val="left"/>
              <w:rPr/>
            </w:pPr>
            <w:r>
              <w:rPr/>
              <w:t> </w:t>
            </w:r>
          </w:p>
        </w:tc>
      </w:tr>
      <w:tr>
        <w:trPr/>
        <w:tc>
          <w:tcPr>
            <w:tcW w:w="609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704" w:type="dxa"/>
            <w:gridSpan w:val="2"/>
            <w:tcBorders/>
            <w:vAlign w:val="bottom"/>
          </w:tcPr>
          <w:p>
            <w:pPr>
              <w:pStyle w:val="TableContents"/>
              <w:bidi w:val="0"/>
              <w:spacing w:before="0" w:after="283"/>
              <w:jc w:val="center"/>
              <w:rPr>
                <w:b/>
              </w:rPr>
            </w:pPr>
            <w:r>
              <w:rPr>
                <w:b/>
              </w:rPr>
              <w:t>£</w:t>
            </w:r>
          </w:p>
        </w:tc>
        <w:tc>
          <w:tcPr>
            <w:tcW w:w="23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03" w:type="dxa"/>
            <w:gridSpan w:val="2"/>
            <w:tcBorders/>
            <w:vAlign w:val="bottom"/>
          </w:tcPr>
          <w:p>
            <w:pPr>
              <w:pStyle w:val="TableContents"/>
              <w:bidi w:val="0"/>
              <w:spacing w:before="0" w:after="283"/>
              <w:jc w:val="center"/>
              <w:rPr>
                <w:b/>
              </w:rPr>
            </w:pPr>
            <w:r>
              <w:rPr>
                <w:b/>
              </w:rPr>
              <w:t>£</w:t>
            </w:r>
          </w:p>
        </w:tc>
        <w:tc>
          <w:tcPr>
            <w:tcW w:w="159" w:type="dxa"/>
            <w:tcBorders/>
            <w:vAlign w:val="bottom"/>
          </w:tcPr>
          <w:p>
            <w:pPr>
              <w:pStyle w:val="TableContents"/>
              <w:bidi w:val="0"/>
              <w:spacing w:before="0" w:after="283"/>
              <w:jc w:val="left"/>
              <w:rPr/>
            </w:pPr>
            <w:r>
              <w:rPr/>
              <w:t> </w:t>
            </w:r>
          </w:p>
        </w:tc>
      </w:tr>
      <w:tr>
        <w:trPr/>
        <w:tc>
          <w:tcPr>
            <w:tcW w:w="609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169"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sz w:val="4"/>
                <w:szCs w:val="4"/>
              </w:rPr>
            </w:pPr>
            <w:r>
              <w:rPr>
                <w:sz w:val="4"/>
                <w:szCs w:val="4"/>
              </w:rPr>
            </w:r>
          </w:p>
        </w:tc>
        <w:tc>
          <w:tcPr>
            <w:tcW w:w="1567" w:type="dxa"/>
            <w:tcBorders/>
            <w:shd w:fill="CCEEFF" w:val="clear"/>
            <w:vAlign w:val="bottom"/>
          </w:tcPr>
          <w:p>
            <w:pPr>
              <w:pStyle w:val="TableContents"/>
              <w:bidi w:val="0"/>
              <w:spacing w:before="0" w:after="283"/>
              <w:jc w:val="left"/>
              <w:rPr>
                <w:sz w:val="4"/>
                <w:szCs w:val="4"/>
              </w:rPr>
            </w:pPr>
            <w:r>
              <w:rPr>
                <w:sz w:val="4"/>
                <w:szCs w:val="4"/>
              </w:rPr>
            </w:r>
          </w:p>
        </w:tc>
        <w:tc>
          <w:tcPr>
            <w:tcW w:w="238"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1579"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090" w:type="dxa"/>
            <w:tcBorders/>
          </w:tcPr>
          <w:p>
            <w:pPr>
              <w:pStyle w:val="TableContents"/>
              <w:bidi w:val="0"/>
              <w:spacing w:before="0" w:after="0"/>
              <w:jc w:val="left"/>
              <w:rPr>
                <w:rFonts w:ascii="Times New Roman" w:hAnsi="Times New Roman"/>
                <w:sz w:val="20"/>
              </w:rPr>
            </w:pPr>
            <w:r>
              <w:rPr>
                <w:rFonts w:ascii="Times New Roman" w:hAnsi="Times New Roman"/>
                <w:sz w:val="20"/>
              </w:rPr>
              <w:t>Loss for the period</w:t>
            </w:r>
          </w:p>
        </w:tc>
        <w:tc>
          <w:tcPr>
            <w:tcW w:w="169"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567" w:type="dxa"/>
            <w:tcBorders/>
            <w:vAlign w:val="bottom"/>
          </w:tcPr>
          <w:p>
            <w:pPr>
              <w:pStyle w:val="TableContents"/>
              <w:bidi w:val="0"/>
              <w:spacing w:before="0" w:after="283"/>
              <w:jc w:val="right"/>
              <w:rPr/>
            </w:pPr>
            <w:r>
              <w:rPr/>
              <w:t>(6,945</w:t>
            </w:r>
          </w:p>
        </w:tc>
        <w:tc>
          <w:tcPr>
            <w:tcW w:w="23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579" w:type="dxa"/>
            <w:tcBorders/>
            <w:vAlign w:val="bottom"/>
          </w:tcPr>
          <w:p>
            <w:pPr>
              <w:pStyle w:val="TableContents"/>
              <w:bidi w:val="0"/>
              <w:spacing w:before="0" w:after="283"/>
              <w:jc w:val="right"/>
              <w:rPr/>
            </w:pPr>
            <w:r>
              <w:rPr/>
              <w:t>(26,587</w:t>
            </w:r>
          </w:p>
        </w:tc>
        <w:tc>
          <w:tcPr>
            <w:tcW w:w="159" w:type="dxa"/>
            <w:tcBorders/>
            <w:vAlign w:val="bottom"/>
          </w:tcPr>
          <w:p>
            <w:pPr>
              <w:pStyle w:val="TableContents"/>
              <w:bidi w:val="0"/>
              <w:spacing w:before="0" w:after="283"/>
              <w:jc w:val="left"/>
              <w:rPr/>
            </w:pPr>
            <w:r>
              <w:rPr/>
              <w:t>) </w:t>
            </w:r>
          </w:p>
        </w:tc>
      </w:tr>
      <w:tr>
        <w:trPr/>
        <w:tc>
          <w:tcPr>
            <w:tcW w:w="60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for:</w:t>
            </w:r>
          </w:p>
        </w:tc>
        <w:tc>
          <w:tcPr>
            <w:tcW w:w="169"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sz w:val="4"/>
                <w:szCs w:val="4"/>
              </w:rPr>
            </w:pPr>
            <w:r>
              <w:rPr>
                <w:sz w:val="4"/>
                <w:szCs w:val="4"/>
              </w:rPr>
            </w:r>
          </w:p>
        </w:tc>
        <w:tc>
          <w:tcPr>
            <w:tcW w:w="1567" w:type="dxa"/>
            <w:tcBorders/>
            <w:shd w:fill="CCEEFF" w:val="clear"/>
            <w:vAlign w:val="bottom"/>
          </w:tcPr>
          <w:p>
            <w:pPr>
              <w:pStyle w:val="TableContents"/>
              <w:bidi w:val="0"/>
              <w:spacing w:before="0" w:after="283"/>
              <w:jc w:val="left"/>
              <w:rPr>
                <w:sz w:val="4"/>
                <w:szCs w:val="4"/>
              </w:rPr>
            </w:pPr>
            <w:r>
              <w:rPr>
                <w:sz w:val="4"/>
                <w:szCs w:val="4"/>
              </w:rPr>
            </w:r>
          </w:p>
        </w:tc>
        <w:tc>
          <w:tcPr>
            <w:tcW w:w="238"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1579"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090" w:type="dxa"/>
            <w:tcBorders/>
          </w:tcPr>
          <w:p>
            <w:pPr>
              <w:pStyle w:val="TableContents"/>
              <w:bidi w:val="0"/>
              <w:spacing w:before="0" w:after="0"/>
              <w:jc w:val="left"/>
              <w:rPr>
                <w:rFonts w:ascii="Times New Roman" w:hAnsi="Times New Roman"/>
                <w:sz w:val="20"/>
              </w:rPr>
            </w:pPr>
            <w:r>
              <w:rPr>
                <w:rFonts w:ascii="Times New Roman" w:hAnsi="Times New Roman"/>
                <w:sz w:val="20"/>
              </w:rPr>
              <w:t>Income tax credit</w:t>
            </w:r>
          </w:p>
        </w:tc>
        <w:tc>
          <w:tcPr>
            <w:tcW w:w="169"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567" w:type="dxa"/>
            <w:tcBorders/>
            <w:vAlign w:val="bottom"/>
          </w:tcPr>
          <w:p>
            <w:pPr>
              <w:pStyle w:val="TableContents"/>
              <w:bidi w:val="0"/>
              <w:spacing w:before="0" w:after="283"/>
              <w:jc w:val="right"/>
              <w:rPr/>
            </w:pPr>
            <w:r>
              <w:rPr/>
              <w:t>(743</w:t>
            </w:r>
          </w:p>
        </w:tc>
        <w:tc>
          <w:tcPr>
            <w:tcW w:w="23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579" w:type="dxa"/>
            <w:tcBorders/>
            <w:vAlign w:val="bottom"/>
          </w:tcPr>
          <w:p>
            <w:pPr>
              <w:pStyle w:val="TableContents"/>
              <w:bidi w:val="0"/>
              <w:spacing w:before="0" w:after="283"/>
              <w:jc w:val="right"/>
              <w:rPr/>
            </w:pPr>
            <w:r>
              <w:rPr/>
              <w:t>(681</w:t>
            </w:r>
          </w:p>
        </w:tc>
        <w:tc>
          <w:tcPr>
            <w:tcW w:w="159" w:type="dxa"/>
            <w:tcBorders/>
            <w:vAlign w:val="bottom"/>
          </w:tcPr>
          <w:p>
            <w:pPr>
              <w:pStyle w:val="TableContents"/>
              <w:bidi w:val="0"/>
              <w:spacing w:before="0" w:after="283"/>
              <w:jc w:val="left"/>
              <w:rPr/>
            </w:pPr>
            <w:r>
              <w:rPr/>
              <w:t>) </w:t>
            </w:r>
          </w:p>
        </w:tc>
      </w:tr>
      <w:tr>
        <w:trPr/>
        <w:tc>
          <w:tcPr>
            <w:tcW w:w="60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and depreciation</w:t>
            </w:r>
          </w:p>
        </w:tc>
        <w:tc>
          <w:tcPr>
            <w:tcW w:w="169"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567" w:type="dxa"/>
            <w:tcBorders/>
            <w:shd w:fill="CCEEFF" w:val="clear"/>
            <w:vAlign w:val="bottom"/>
          </w:tcPr>
          <w:p>
            <w:pPr>
              <w:pStyle w:val="TableContents"/>
              <w:bidi w:val="0"/>
              <w:spacing w:before="0" w:after="283"/>
              <w:jc w:val="right"/>
              <w:rPr/>
            </w:pPr>
            <w:r>
              <w:rPr/>
              <w:t>139</w:t>
            </w:r>
          </w:p>
        </w:tc>
        <w:tc>
          <w:tcPr>
            <w:tcW w:w="23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579" w:type="dxa"/>
            <w:tcBorders/>
            <w:shd w:fill="CCEEFF" w:val="clear"/>
            <w:vAlign w:val="bottom"/>
          </w:tcPr>
          <w:p>
            <w:pPr>
              <w:pStyle w:val="TableContents"/>
              <w:bidi w:val="0"/>
              <w:spacing w:before="0" w:after="283"/>
              <w:jc w:val="right"/>
              <w:rPr/>
            </w:pPr>
            <w:r>
              <w:rPr/>
              <w:t>136</w:t>
            </w:r>
          </w:p>
        </w:tc>
        <w:tc>
          <w:tcPr>
            <w:tcW w:w="159" w:type="dxa"/>
            <w:tcBorders/>
            <w:shd w:fill="CCEEFF" w:val="clear"/>
            <w:vAlign w:val="bottom"/>
          </w:tcPr>
          <w:p>
            <w:pPr>
              <w:pStyle w:val="TableContents"/>
              <w:bidi w:val="0"/>
              <w:spacing w:before="0" w:after="283"/>
              <w:jc w:val="left"/>
              <w:rPr/>
            </w:pPr>
            <w:r>
              <w:rPr/>
              <w:t> </w:t>
            </w:r>
          </w:p>
        </w:tc>
      </w:tr>
      <w:tr>
        <w:trPr/>
        <w:tc>
          <w:tcPr>
            <w:tcW w:w="6090" w:type="dxa"/>
            <w:tcBorders/>
          </w:tcPr>
          <w:p>
            <w:pPr>
              <w:pStyle w:val="TableContents"/>
              <w:bidi w:val="0"/>
              <w:spacing w:before="0" w:after="0"/>
              <w:jc w:val="left"/>
              <w:rPr>
                <w:rFonts w:ascii="Times New Roman" w:hAnsi="Times New Roman"/>
                <w:sz w:val="20"/>
              </w:rPr>
            </w:pPr>
            <w:r>
              <w:rPr>
                <w:rFonts w:ascii="Times New Roman" w:hAnsi="Times New Roman"/>
                <w:sz w:val="20"/>
              </w:rPr>
              <w:t>Movement in provisions</w:t>
            </w:r>
          </w:p>
        </w:tc>
        <w:tc>
          <w:tcPr>
            <w:tcW w:w="169"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567" w:type="dxa"/>
            <w:tcBorders/>
            <w:vAlign w:val="bottom"/>
          </w:tcPr>
          <w:p>
            <w:pPr>
              <w:pStyle w:val="TableContents"/>
              <w:bidi w:val="0"/>
              <w:spacing w:before="0" w:after="283"/>
              <w:jc w:val="right"/>
              <w:rPr/>
            </w:pPr>
            <w:r>
              <w:rPr/>
              <w:t>— </w:t>
            </w:r>
          </w:p>
        </w:tc>
        <w:tc>
          <w:tcPr>
            <w:tcW w:w="23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579" w:type="dxa"/>
            <w:tcBorders/>
            <w:vAlign w:val="bottom"/>
          </w:tcPr>
          <w:p>
            <w:pPr>
              <w:pStyle w:val="TableContents"/>
              <w:bidi w:val="0"/>
              <w:spacing w:before="0" w:after="283"/>
              <w:jc w:val="right"/>
              <w:rPr/>
            </w:pPr>
            <w:r>
              <w:rPr/>
              <w:t>(40</w:t>
            </w:r>
          </w:p>
        </w:tc>
        <w:tc>
          <w:tcPr>
            <w:tcW w:w="159" w:type="dxa"/>
            <w:tcBorders/>
            <w:vAlign w:val="bottom"/>
          </w:tcPr>
          <w:p>
            <w:pPr>
              <w:pStyle w:val="TableContents"/>
              <w:bidi w:val="0"/>
              <w:spacing w:before="0" w:after="283"/>
              <w:jc w:val="left"/>
              <w:rPr/>
            </w:pPr>
            <w:r>
              <w:rPr/>
              <w:t>) </w:t>
            </w:r>
          </w:p>
        </w:tc>
      </w:tr>
      <w:tr>
        <w:trPr/>
        <w:tc>
          <w:tcPr>
            <w:tcW w:w="60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income</w:t>
            </w:r>
          </w:p>
        </w:tc>
        <w:tc>
          <w:tcPr>
            <w:tcW w:w="169"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567" w:type="dxa"/>
            <w:tcBorders/>
            <w:shd w:fill="CCEEFF" w:val="clear"/>
            <w:vAlign w:val="bottom"/>
          </w:tcPr>
          <w:p>
            <w:pPr>
              <w:pStyle w:val="TableContents"/>
              <w:bidi w:val="0"/>
              <w:spacing w:before="0" w:after="283"/>
              <w:jc w:val="right"/>
              <w:rPr/>
            </w:pPr>
            <w:r>
              <w:rPr/>
              <w:t>(277</w:t>
            </w:r>
          </w:p>
        </w:tc>
        <w:tc>
          <w:tcPr>
            <w:tcW w:w="23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579" w:type="dxa"/>
            <w:tcBorders/>
            <w:shd w:fill="CCEEFF" w:val="clear"/>
            <w:vAlign w:val="bottom"/>
          </w:tcPr>
          <w:p>
            <w:pPr>
              <w:pStyle w:val="TableContents"/>
              <w:bidi w:val="0"/>
              <w:spacing w:before="0" w:after="283"/>
              <w:jc w:val="right"/>
              <w:rPr/>
            </w:pPr>
            <w:r>
              <w:rPr/>
              <w:t>(60</w:t>
            </w:r>
          </w:p>
        </w:tc>
        <w:tc>
          <w:tcPr>
            <w:tcW w:w="159" w:type="dxa"/>
            <w:tcBorders/>
            <w:shd w:fill="CCEEFF" w:val="clear"/>
            <w:vAlign w:val="bottom"/>
          </w:tcPr>
          <w:p>
            <w:pPr>
              <w:pStyle w:val="TableContents"/>
              <w:bidi w:val="0"/>
              <w:spacing w:before="0" w:after="283"/>
              <w:jc w:val="left"/>
              <w:rPr/>
            </w:pPr>
            <w:r>
              <w:rPr/>
              <w:t>) </w:t>
            </w:r>
          </w:p>
        </w:tc>
      </w:tr>
      <w:tr>
        <w:trPr/>
        <w:tc>
          <w:tcPr>
            <w:tcW w:w="6090" w:type="dxa"/>
            <w:tcBorders/>
          </w:tcPr>
          <w:p>
            <w:pPr>
              <w:pStyle w:val="TableContents"/>
              <w:bidi w:val="0"/>
              <w:spacing w:before="0" w:after="0"/>
              <w:jc w:val="left"/>
              <w:rPr>
                <w:rFonts w:ascii="Times New Roman" w:hAnsi="Times New Roman"/>
                <w:sz w:val="20"/>
              </w:rPr>
            </w:pPr>
            <w:r>
              <w:rPr>
                <w:rFonts w:ascii="Times New Roman" w:hAnsi="Times New Roman"/>
                <w:sz w:val="20"/>
              </w:rPr>
              <w:t>Finance expense</w:t>
            </w:r>
          </w:p>
        </w:tc>
        <w:tc>
          <w:tcPr>
            <w:tcW w:w="169"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567" w:type="dxa"/>
            <w:tcBorders/>
            <w:vAlign w:val="bottom"/>
          </w:tcPr>
          <w:p>
            <w:pPr>
              <w:pStyle w:val="TableContents"/>
              <w:bidi w:val="0"/>
              <w:spacing w:before="0" w:after="283"/>
              <w:jc w:val="right"/>
              <w:rPr/>
            </w:pPr>
            <w:r>
              <w:rPr/>
              <w:t>— </w:t>
            </w:r>
          </w:p>
        </w:tc>
        <w:tc>
          <w:tcPr>
            <w:tcW w:w="23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579" w:type="dxa"/>
            <w:tcBorders/>
            <w:vAlign w:val="bottom"/>
          </w:tcPr>
          <w:p>
            <w:pPr>
              <w:pStyle w:val="TableContents"/>
              <w:bidi w:val="0"/>
              <w:spacing w:before="0" w:after="283"/>
              <w:jc w:val="right"/>
              <w:rPr/>
            </w:pPr>
            <w:r>
              <w:rPr/>
              <w:t>12,648</w:t>
            </w:r>
          </w:p>
        </w:tc>
        <w:tc>
          <w:tcPr>
            <w:tcW w:w="159" w:type="dxa"/>
            <w:tcBorders/>
            <w:vAlign w:val="bottom"/>
          </w:tcPr>
          <w:p>
            <w:pPr>
              <w:pStyle w:val="TableContents"/>
              <w:bidi w:val="0"/>
              <w:spacing w:before="0" w:after="283"/>
              <w:jc w:val="left"/>
              <w:rPr/>
            </w:pPr>
            <w:r>
              <w:rPr/>
              <w:t> </w:t>
            </w:r>
          </w:p>
        </w:tc>
      </w:tr>
      <w:tr>
        <w:trPr/>
        <w:tc>
          <w:tcPr>
            <w:tcW w:w="60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on lease liabilities</w:t>
            </w:r>
          </w:p>
        </w:tc>
        <w:tc>
          <w:tcPr>
            <w:tcW w:w="169"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567" w:type="dxa"/>
            <w:tcBorders/>
            <w:shd w:fill="CCEEFF" w:val="clear"/>
            <w:vAlign w:val="bottom"/>
          </w:tcPr>
          <w:p>
            <w:pPr>
              <w:pStyle w:val="TableContents"/>
              <w:bidi w:val="0"/>
              <w:spacing w:before="0" w:after="283"/>
              <w:jc w:val="right"/>
              <w:rPr/>
            </w:pPr>
            <w:r>
              <w:rPr/>
              <w:t>25</w:t>
            </w:r>
          </w:p>
        </w:tc>
        <w:tc>
          <w:tcPr>
            <w:tcW w:w="23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579" w:type="dxa"/>
            <w:tcBorders/>
            <w:shd w:fill="CCEEFF" w:val="clear"/>
            <w:vAlign w:val="bottom"/>
          </w:tcPr>
          <w:p>
            <w:pPr>
              <w:pStyle w:val="TableContents"/>
              <w:bidi w:val="0"/>
              <w:spacing w:before="0" w:after="283"/>
              <w:jc w:val="right"/>
              <w:rPr/>
            </w:pPr>
            <w:r>
              <w:rPr/>
              <w:t>5</w:t>
            </w:r>
          </w:p>
        </w:tc>
        <w:tc>
          <w:tcPr>
            <w:tcW w:w="159" w:type="dxa"/>
            <w:tcBorders/>
            <w:shd w:fill="CCEEFF" w:val="clear"/>
            <w:vAlign w:val="bottom"/>
          </w:tcPr>
          <w:p>
            <w:pPr>
              <w:pStyle w:val="TableContents"/>
              <w:bidi w:val="0"/>
              <w:spacing w:before="0" w:after="283"/>
              <w:jc w:val="left"/>
              <w:rPr/>
            </w:pPr>
            <w:r>
              <w:rPr/>
              <w:t> </w:t>
            </w:r>
          </w:p>
        </w:tc>
      </w:tr>
      <w:tr>
        <w:trPr/>
        <w:tc>
          <w:tcPr>
            <w:tcW w:w="6090" w:type="dxa"/>
            <w:tcBorders/>
          </w:tcPr>
          <w:p>
            <w:pPr>
              <w:pStyle w:val="TableContents"/>
              <w:bidi w:val="0"/>
              <w:spacing w:before="0" w:after="0"/>
              <w:jc w:val="left"/>
              <w:rPr>
                <w:rFonts w:ascii="Times New Roman" w:hAnsi="Times New Roman"/>
                <w:sz w:val="20"/>
              </w:rPr>
            </w:pPr>
            <w:r>
              <w:rPr>
                <w:rFonts w:ascii="Times New Roman" w:hAnsi="Times New Roman"/>
                <w:sz w:val="20"/>
              </w:rPr>
              <w:t>Share-based payments</w:t>
            </w:r>
          </w:p>
        </w:tc>
        <w:tc>
          <w:tcPr>
            <w:tcW w:w="169"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567" w:type="dxa"/>
            <w:tcBorders/>
            <w:vAlign w:val="bottom"/>
          </w:tcPr>
          <w:p>
            <w:pPr>
              <w:pStyle w:val="TableContents"/>
              <w:bidi w:val="0"/>
              <w:spacing w:before="0" w:after="283"/>
              <w:jc w:val="right"/>
              <w:rPr/>
            </w:pPr>
            <w:r>
              <w:rPr/>
              <w:t>2,794</w:t>
            </w:r>
          </w:p>
        </w:tc>
        <w:tc>
          <w:tcPr>
            <w:tcW w:w="23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579" w:type="dxa"/>
            <w:tcBorders/>
            <w:vAlign w:val="bottom"/>
          </w:tcPr>
          <w:p>
            <w:pPr>
              <w:pStyle w:val="TableContents"/>
              <w:bidi w:val="0"/>
              <w:spacing w:before="0" w:after="283"/>
              <w:jc w:val="right"/>
              <w:rPr/>
            </w:pPr>
            <w:r>
              <w:rPr/>
              <w:t>8,247</w:t>
            </w:r>
          </w:p>
        </w:tc>
        <w:tc>
          <w:tcPr>
            <w:tcW w:w="159" w:type="dxa"/>
            <w:tcBorders/>
            <w:vAlign w:val="bottom"/>
          </w:tcPr>
          <w:p>
            <w:pPr>
              <w:pStyle w:val="TableContents"/>
              <w:bidi w:val="0"/>
              <w:spacing w:before="0" w:after="283"/>
              <w:jc w:val="left"/>
              <w:rPr/>
            </w:pPr>
            <w:r>
              <w:rPr/>
              <w:t> </w:t>
            </w:r>
          </w:p>
        </w:tc>
      </w:tr>
      <w:tr>
        <w:trPr/>
        <w:tc>
          <w:tcPr>
            <w:tcW w:w="60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foreign exchange (gains) losses</w:t>
            </w:r>
          </w:p>
        </w:tc>
        <w:tc>
          <w:tcPr>
            <w:tcW w:w="169"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567" w:type="dxa"/>
            <w:tcBorders/>
            <w:shd w:fill="CCEEFF" w:val="clear"/>
            <w:vAlign w:val="bottom"/>
          </w:tcPr>
          <w:p>
            <w:pPr>
              <w:pStyle w:val="TableContents"/>
              <w:bidi w:val="0"/>
              <w:spacing w:before="0" w:after="283"/>
              <w:jc w:val="right"/>
              <w:rPr/>
            </w:pPr>
            <w:r>
              <w:rPr/>
              <w:t>(269</w:t>
            </w:r>
          </w:p>
        </w:tc>
        <w:tc>
          <w:tcPr>
            <w:tcW w:w="23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579" w:type="dxa"/>
            <w:tcBorders/>
            <w:shd w:fill="CCEEFF" w:val="clear"/>
            <w:vAlign w:val="bottom"/>
          </w:tcPr>
          <w:p>
            <w:pPr>
              <w:pStyle w:val="TableContents"/>
              <w:bidi w:val="0"/>
              <w:spacing w:before="0" w:after="283"/>
              <w:jc w:val="right"/>
              <w:rPr/>
            </w:pPr>
            <w:r>
              <w:rPr/>
              <w:t>387</w:t>
            </w:r>
          </w:p>
        </w:tc>
        <w:tc>
          <w:tcPr>
            <w:tcW w:w="159" w:type="dxa"/>
            <w:tcBorders/>
            <w:shd w:fill="CCEEFF" w:val="clear"/>
            <w:vAlign w:val="bottom"/>
          </w:tcPr>
          <w:p>
            <w:pPr>
              <w:pStyle w:val="TableContents"/>
              <w:bidi w:val="0"/>
              <w:spacing w:before="0" w:after="283"/>
              <w:jc w:val="left"/>
              <w:rPr/>
            </w:pPr>
            <w:r>
              <w:rPr/>
              <w:t> </w:t>
            </w:r>
          </w:p>
        </w:tc>
      </w:tr>
      <w:tr>
        <w:trPr/>
        <w:tc>
          <w:tcPr>
            <w:tcW w:w="6090"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pPr>
            <w:r>
              <w:rPr/>
              <w:t>  </w:t>
            </w:r>
          </w:p>
        </w:tc>
        <w:tc>
          <w:tcPr>
            <w:tcW w:w="137" w:type="dxa"/>
            <w:tcBorders/>
            <w:vAlign w:val="bottom"/>
          </w:tcPr>
          <w:p>
            <w:pPr>
              <w:pStyle w:val="TableContents"/>
              <w:pBdr>
                <w:top w:val="single" w:sz="2" w:space="1" w:color="000000"/>
              </w:pBdr>
              <w:bidi w:val="0"/>
              <w:spacing w:before="0" w:after="0"/>
              <w:jc w:val="left"/>
              <w:rPr/>
            </w:pPr>
            <w:r>
              <w:rPr/>
              <w:t> </w:t>
            </w:r>
          </w:p>
        </w:tc>
        <w:tc>
          <w:tcPr>
            <w:tcW w:w="1567" w:type="dxa"/>
            <w:tcBorders/>
            <w:vAlign w:val="bottom"/>
          </w:tcPr>
          <w:p>
            <w:pPr>
              <w:pStyle w:val="TableContents"/>
              <w:pBdr>
                <w:top w:val="single" w:sz="2" w:space="1" w:color="000000"/>
              </w:pBdr>
              <w:bidi w:val="0"/>
              <w:spacing w:before="0" w:after="0"/>
              <w:jc w:val="left"/>
              <w:rPr/>
            </w:pPr>
            <w:r>
              <w:rPr/>
              <w:t> </w:t>
            </w:r>
          </w:p>
        </w:tc>
        <w:tc>
          <w:tcPr>
            <w:tcW w:w="238"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24" w:type="dxa"/>
            <w:tcBorders/>
            <w:vAlign w:val="bottom"/>
          </w:tcPr>
          <w:p>
            <w:pPr>
              <w:pStyle w:val="TableContents"/>
              <w:pBdr>
                <w:top w:val="single" w:sz="2" w:space="1" w:color="000000"/>
              </w:pBdr>
              <w:bidi w:val="0"/>
              <w:spacing w:before="0" w:after="0"/>
              <w:jc w:val="left"/>
              <w:rPr/>
            </w:pPr>
            <w:r>
              <w:rPr/>
              <w:t> </w:t>
            </w:r>
          </w:p>
        </w:tc>
        <w:tc>
          <w:tcPr>
            <w:tcW w:w="157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090" w:type="dxa"/>
            <w:tcBorders/>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567" w:type="dxa"/>
            <w:tcBorders/>
            <w:vAlign w:val="bottom"/>
          </w:tcPr>
          <w:p>
            <w:pPr>
              <w:pStyle w:val="TableContents"/>
              <w:bidi w:val="0"/>
              <w:spacing w:before="0" w:after="283"/>
              <w:jc w:val="right"/>
              <w:rPr/>
            </w:pPr>
            <w:r>
              <w:rPr/>
              <w:t>(5,276</w:t>
            </w:r>
          </w:p>
        </w:tc>
        <w:tc>
          <w:tcPr>
            <w:tcW w:w="23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579" w:type="dxa"/>
            <w:tcBorders/>
            <w:vAlign w:val="bottom"/>
          </w:tcPr>
          <w:p>
            <w:pPr>
              <w:pStyle w:val="TableContents"/>
              <w:bidi w:val="0"/>
              <w:spacing w:before="0" w:after="283"/>
              <w:jc w:val="right"/>
              <w:rPr/>
            </w:pPr>
            <w:r>
              <w:rPr/>
              <w:t>(5,945</w:t>
            </w:r>
          </w:p>
        </w:tc>
        <w:tc>
          <w:tcPr>
            <w:tcW w:w="159" w:type="dxa"/>
            <w:tcBorders/>
            <w:vAlign w:val="bottom"/>
          </w:tcPr>
          <w:p>
            <w:pPr>
              <w:pStyle w:val="TableContents"/>
              <w:bidi w:val="0"/>
              <w:spacing w:before="0" w:after="283"/>
              <w:jc w:val="left"/>
              <w:rPr/>
            </w:pPr>
            <w:r>
              <w:rPr/>
              <w:t>) </w:t>
            </w:r>
          </w:p>
        </w:tc>
      </w:tr>
      <w:tr>
        <w:trPr/>
        <w:tc>
          <w:tcPr>
            <w:tcW w:w="6090"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sz w:val="4"/>
                <w:szCs w:val="4"/>
              </w:rPr>
            </w:pPr>
            <w:r>
              <w:rPr>
                <w:sz w:val="4"/>
                <w:szCs w:val="4"/>
              </w:rPr>
            </w:r>
          </w:p>
        </w:tc>
        <w:tc>
          <w:tcPr>
            <w:tcW w:w="1567" w:type="dxa"/>
            <w:tcBorders/>
            <w:shd w:fill="CCEEFF" w:val="clear"/>
            <w:vAlign w:val="bottom"/>
          </w:tcPr>
          <w:p>
            <w:pPr>
              <w:pStyle w:val="TableContents"/>
              <w:bidi w:val="0"/>
              <w:spacing w:before="0" w:after="283"/>
              <w:jc w:val="left"/>
              <w:rPr>
                <w:sz w:val="4"/>
                <w:szCs w:val="4"/>
              </w:rPr>
            </w:pPr>
            <w:r>
              <w:rPr>
                <w:sz w:val="4"/>
                <w:szCs w:val="4"/>
              </w:rPr>
            </w:r>
          </w:p>
        </w:tc>
        <w:tc>
          <w:tcPr>
            <w:tcW w:w="238"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1579"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090" w:type="dxa"/>
            <w:tcBorders/>
          </w:tcPr>
          <w:p>
            <w:pPr>
              <w:pStyle w:val="TableContents"/>
              <w:bidi w:val="0"/>
              <w:spacing w:before="0" w:after="0"/>
              <w:jc w:val="left"/>
              <w:rPr>
                <w:rFonts w:ascii="Times New Roman" w:hAnsi="Times New Roman"/>
                <w:sz w:val="20"/>
              </w:rPr>
            </w:pPr>
            <w:r>
              <w:rPr>
                <w:rFonts w:ascii="Times New Roman" w:hAnsi="Times New Roman"/>
                <w:sz w:val="20"/>
              </w:rPr>
              <w:t>Movements in working capital:</w:t>
            </w:r>
          </w:p>
        </w:tc>
        <w:tc>
          <w:tcPr>
            <w:tcW w:w="169"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sz w:val="4"/>
                <w:szCs w:val="4"/>
              </w:rPr>
            </w:pPr>
            <w:r>
              <w:rPr>
                <w:sz w:val="4"/>
                <w:szCs w:val="4"/>
              </w:rPr>
            </w:r>
          </w:p>
        </w:tc>
        <w:tc>
          <w:tcPr>
            <w:tcW w:w="1567" w:type="dxa"/>
            <w:tcBorders/>
            <w:vAlign w:val="bottom"/>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1579"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0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Decrease (increase) in prepayments, accrued income and other receivables</w:t>
            </w:r>
          </w:p>
        </w:tc>
        <w:tc>
          <w:tcPr>
            <w:tcW w:w="169"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567" w:type="dxa"/>
            <w:tcBorders/>
            <w:shd w:fill="CCEEFF" w:val="clear"/>
            <w:vAlign w:val="bottom"/>
          </w:tcPr>
          <w:p>
            <w:pPr>
              <w:pStyle w:val="TableContents"/>
              <w:bidi w:val="0"/>
              <w:spacing w:before="0" w:after="283"/>
              <w:jc w:val="right"/>
              <w:rPr/>
            </w:pPr>
            <w:r>
              <w:rPr/>
              <w:t>10</w:t>
            </w:r>
          </w:p>
        </w:tc>
        <w:tc>
          <w:tcPr>
            <w:tcW w:w="23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579" w:type="dxa"/>
            <w:tcBorders/>
            <w:shd w:fill="CCEEFF" w:val="clear"/>
            <w:vAlign w:val="bottom"/>
          </w:tcPr>
          <w:p>
            <w:pPr>
              <w:pStyle w:val="TableContents"/>
              <w:bidi w:val="0"/>
              <w:spacing w:before="0" w:after="283"/>
              <w:jc w:val="right"/>
              <w:rPr/>
            </w:pPr>
            <w:r>
              <w:rPr/>
              <w:t>(113</w:t>
            </w:r>
          </w:p>
        </w:tc>
        <w:tc>
          <w:tcPr>
            <w:tcW w:w="159" w:type="dxa"/>
            <w:tcBorders/>
            <w:shd w:fill="CCEEFF" w:val="clear"/>
            <w:vAlign w:val="bottom"/>
          </w:tcPr>
          <w:p>
            <w:pPr>
              <w:pStyle w:val="TableContents"/>
              <w:bidi w:val="0"/>
              <w:spacing w:before="0" w:after="283"/>
              <w:jc w:val="left"/>
              <w:rPr/>
            </w:pPr>
            <w:r>
              <w:rPr/>
              <w:t>) </w:t>
            </w:r>
          </w:p>
        </w:tc>
      </w:tr>
      <w:tr>
        <w:trPr/>
        <w:tc>
          <w:tcPr>
            <w:tcW w:w="6090" w:type="dxa"/>
            <w:tcBorders/>
          </w:tcPr>
          <w:p>
            <w:pPr>
              <w:pStyle w:val="TableContents"/>
              <w:bidi w:val="0"/>
              <w:spacing w:before="0" w:after="0"/>
              <w:jc w:val="left"/>
              <w:rPr>
                <w:rFonts w:ascii="Times New Roman" w:hAnsi="Times New Roman"/>
                <w:sz w:val="20"/>
              </w:rPr>
            </w:pPr>
            <w:r>
              <w:rPr>
                <w:rFonts w:ascii="Times New Roman" w:hAnsi="Times New Roman"/>
                <w:sz w:val="20"/>
              </w:rPr>
              <w:t>Decrease in trade payables</w:t>
            </w:r>
          </w:p>
        </w:tc>
        <w:tc>
          <w:tcPr>
            <w:tcW w:w="169"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567" w:type="dxa"/>
            <w:tcBorders/>
            <w:vAlign w:val="bottom"/>
          </w:tcPr>
          <w:p>
            <w:pPr>
              <w:pStyle w:val="TableContents"/>
              <w:bidi w:val="0"/>
              <w:spacing w:before="0" w:after="283"/>
              <w:jc w:val="right"/>
              <w:rPr/>
            </w:pPr>
            <w:r>
              <w:rPr/>
              <w:t>(72</w:t>
            </w:r>
          </w:p>
        </w:tc>
        <w:tc>
          <w:tcPr>
            <w:tcW w:w="23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579" w:type="dxa"/>
            <w:tcBorders/>
            <w:vAlign w:val="bottom"/>
          </w:tcPr>
          <w:p>
            <w:pPr>
              <w:pStyle w:val="TableContents"/>
              <w:bidi w:val="0"/>
              <w:spacing w:before="0" w:after="283"/>
              <w:jc w:val="right"/>
              <w:rPr/>
            </w:pPr>
            <w:r>
              <w:rPr/>
              <w:t>(1,607</w:t>
            </w:r>
          </w:p>
        </w:tc>
        <w:tc>
          <w:tcPr>
            <w:tcW w:w="159" w:type="dxa"/>
            <w:tcBorders/>
            <w:vAlign w:val="bottom"/>
          </w:tcPr>
          <w:p>
            <w:pPr>
              <w:pStyle w:val="TableContents"/>
              <w:bidi w:val="0"/>
              <w:spacing w:before="0" w:after="283"/>
              <w:jc w:val="left"/>
              <w:rPr/>
            </w:pPr>
            <w:r>
              <w:rPr/>
              <w:t>) </w:t>
            </w:r>
          </w:p>
        </w:tc>
      </w:tr>
      <w:tr>
        <w:trPr/>
        <w:tc>
          <w:tcPr>
            <w:tcW w:w="60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(decrease) in payroll taxes, social security and accrued expenditure</w:t>
            </w:r>
          </w:p>
        </w:tc>
        <w:tc>
          <w:tcPr>
            <w:tcW w:w="169"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567" w:type="dxa"/>
            <w:tcBorders/>
            <w:shd w:fill="CCEEFF" w:val="clear"/>
            <w:vAlign w:val="bottom"/>
          </w:tcPr>
          <w:p>
            <w:pPr>
              <w:pStyle w:val="TableContents"/>
              <w:bidi w:val="0"/>
              <w:spacing w:before="0" w:after="283"/>
              <w:jc w:val="right"/>
              <w:rPr/>
            </w:pPr>
            <w:r>
              <w:rPr/>
              <w:t>93</w:t>
            </w:r>
          </w:p>
        </w:tc>
        <w:tc>
          <w:tcPr>
            <w:tcW w:w="23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579" w:type="dxa"/>
            <w:tcBorders/>
            <w:shd w:fill="CCEEFF" w:val="clear"/>
            <w:vAlign w:val="bottom"/>
          </w:tcPr>
          <w:p>
            <w:pPr>
              <w:pStyle w:val="TableContents"/>
              <w:bidi w:val="0"/>
              <w:spacing w:before="0" w:after="283"/>
              <w:jc w:val="right"/>
              <w:rPr/>
            </w:pPr>
            <w:r>
              <w:rPr/>
              <w:t>(929</w:t>
            </w:r>
          </w:p>
        </w:tc>
        <w:tc>
          <w:tcPr>
            <w:tcW w:w="159" w:type="dxa"/>
            <w:tcBorders/>
            <w:shd w:fill="CCEEFF" w:val="clear"/>
            <w:vAlign w:val="bottom"/>
          </w:tcPr>
          <w:p>
            <w:pPr>
              <w:pStyle w:val="TableContents"/>
              <w:bidi w:val="0"/>
              <w:spacing w:before="0" w:after="283"/>
              <w:jc w:val="left"/>
              <w:rPr/>
            </w:pPr>
            <w:r>
              <w:rPr/>
              <w:t>) </w:t>
            </w:r>
          </w:p>
        </w:tc>
      </w:tr>
      <w:tr>
        <w:trPr/>
        <w:tc>
          <w:tcPr>
            <w:tcW w:w="6090"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pPr>
            <w:r>
              <w:rPr/>
              <w:t>  </w:t>
            </w:r>
          </w:p>
        </w:tc>
        <w:tc>
          <w:tcPr>
            <w:tcW w:w="137" w:type="dxa"/>
            <w:tcBorders/>
            <w:vAlign w:val="bottom"/>
          </w:tcPr>
          <w:p>
            <w:pPr>
              <w:pStyle w:val="TableContents"/>
              <w:pBdr>
                <w:top w:val="single" w:sz="2" w:space="1" w:color="000000"/>
              </w:pBdr>
              <w:bidi w:val="0"/>
              <w:spacing w:before="0" w:after="0"/>
              <w:jc w:val="left"/>
              <w:rPr/>
            </w:pPr>
            <w:r>
              <w:rPr/>
              <w:t> </w:t>
            </w:r>
          </w:p>
        </w:tc>
        <w:tc>
          <w:tcPr>
            <w:tcW w:w="1567" w:type="dxa"/>
            <w:tcBorders/>
            <w:vAlign w:val="bottom"/>
          </w:tcPr>
          <w:p>
            <w:pPr>
              <w:pStyle w:val="TableContents"/>
              <w:pBdr>
                <w:top w:val="single" w:sz="2" w:space="1" w:color="000000"/>
              </w:pBdr>
              <w:bidi w:val="0"/>
              <w:spacing w:before="0" w:after="0"/>
              <w:jc w:val="left"/>
              <w:rPr/>
            </w:pPr>
            <w:r>
              <w:rPr/>
              <w:t> </w:t>
            </w:r>
          </w:p>
        </w:tc>
        <w:tc>
          <w:tcPr>
            <w:tcW w:w="238"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24" w:type="dxa"/>
            <w:tcBorders/>
            <w:vAlign w:val="bottom"/>
          </w:tcPr>
          <w:p>
            <w:pPr>
              <w:pStyle w:val="TableContents"/>
              <w:pBdr>
                <w:top w:val="single" w:sz="2" w:space="1" w:color="000000"/>
              </w:pBdr>
              <w:bidi w:val="0"/>
              <w:spacing w:before="0" w:after="0"/>
              <w:jc w:val="left"/>
              <w:rPr/>
            </w:pPr>
            <w:r>
              <w:rPr/>
              <w:t> </w:t>
            </w:r>
          </w:p>
        </w:tc>
        <w:tc>
          <w:tcPr>
            <w:tcW w:w="157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090" w:type="dxa"/>
            <w:tcBorders/>
          </w:tcPr>
          <w:p>
            <w:pPr>
              <w:pStyle w:val="TableContents"/>
              <w:bidi w:val="0"/>
              <w:spacing w:before="0" w:after="0"/>
              <w:jc w:val="left"/>
              <w:rPr>
                <w:rFonts w:ascii="Times New Roman" w:hAnsi="Times New Roman"/>
                <w:sz w:val="20"/>
              </w:rPr>
            </w:pPr>
            <w:r>
              <w:rPr>
                <w:rFonts w:ascii="Times New Roman" w:hAnsi="Times New Roman"/>
                <w:sz w:val="20"/>
              </w:rPr>
              <w:t>Movements in working capital</w:t>
            </w:r>
          </w:p>
        </w:tc>
        <w:tc>
          <w:tcPr>
            <w:tcW w:w="169"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567" w:type="dxa"/>
            <w:tcBorders/>
            <w:vAlign w:val="bottom"/>
          </w:tcPr>
          <w:p>
            <w:pPr>
              <w:pStyle w:val="TableContents"/>
              <w:bidi w:val="0"/>
              <w:spacing w:before="0" w:after="283"/>
              <w:jc w:val="right"/>
              <w:rPr/>
            </w:pPr>
            <w:r>
              <w:rPr/>
              <w:t>31</w:t>
            </w:r>
          </w:p>
        </w:tc>
        <w:tc>
          <w:tcPr>
            <w:tcW w:w="23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579" w:type="dxa"/>
            <w:tcBorders/>
            <w:vAlign w:val="bottom"/>
          </w:tcPr>
          <w:p>
            <w:pPr>
              <w:pStyle w:val="TableContents"/>
              <w:bidi w:val="0"/>
              <w:spacing w:before="0" w:after="283"/>
              <w:jc w:val="right"/>
              <w:rPr/>
            </w:pPr>
            <w:r>
              <w:rPr/>
              <w:t>(2,649</w:t>
            </w:r>
          </w:p>
        </w:tc>
        <w:tc>
          <w:tcPr>
            <w:tcW w:w="159" w:type="dxa"/>
            <w:tcBorders/>
            <w:vAlign w:val="bottom"/>
          </w:tcPr>
          <w:p>
            <w:pPr>
              <w:pStyle w:val="TableContents"/>
              <w:bidi w:val="0"/>
              <w:spacing w:before="0" w:after="283"/>
              <w:jc w:val="left"/>
              <w:rPr/>
            </w:pPr>
            <w:r>
              <w:rPr/>
              <w:t>) </w:t>
            </w:r>
          </w:p>
        </w:tc>
      </w:tr>
      <w:tr>
        <w:trPr/>
        <w:tc>
          <w:tcPr>
            <w:tcW w:w="6090"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pPr>
            <w:r>
              <w:rPr/>
              <w:t>  </w:t>
            </w:r>
          </w:p>
        </w:tc>
        <w:tc>
          <w:tcPr>
            <w:tcW w:w="137" w:type="dxa"/>
            <w:tcBorders/>
            <w:vAlign w:val="bottom"/>
          </w:tcPr>
          <w:p>
            <w:pPr>
              <w:pStyle w:val="TableContents"/>
              <w:pBdr>
                <w:top w:val="single" w:sz="2" w:space="1" w:color="000000"/>
              </w:pBdr>
              <w:bidi w:val="0"/>
              <w:spacing w:before="0" w:after="0"/>
              <w:jc w:val="left"/>
              <w:rPr/>
            </w:pPr>
            <w:r>
              <w:rPr/>
              <w:t> </w:t>
            </w:r>
          </w:p>
        </w:tc>
        <w:tc>
          <w:tcPr>
            <w:tcW w:w="1567" w:type="dxa"/>
            <w:tcBorders/>
            <w:vAlign w:val="bottom"/>
          </w:tcPr>
          <w:p>
            <w:pPr>
              <w:pStyle w:val="TableContents"/>
              <w:pBdr>
                <w:top w:val="single" w:sz="2" w:space="1" w:color="000000"/>
              </w:pBdr>
              <w:bidi w:val="0"/>
              <w:spacing w:before="0" w:after="0"/>
              <w:jc w:val="left"/>
              <w:rPr/>
            </w:pPr>
            <w:r>
              <w:rPr/>
              <w:t> </w:t>
            </w:r>
          </w:p>
        </w:tc>
        <w:tc>
          <w:tcPr>
            <w:tcW w:w="238"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24" w:type="dxa"/>
            <w:tcBorders/>
            <w:vAlign w:val="bottom"/>
          </w:tcPr>
          <w:p>
            <w:pPr>
              <w:pStyle w:val="TableContents"/>
              <w:pBdr>
                <w:top w:val="single" w:sz="2" w:space="1" w:color="000000"/>
              </w:pBdr>
              <w:bidi w:val="0"/>
              <w:spacing w:before="0" w:after="0"/>
              <w:jc w:val="left"/>
              <w:rPr/>
            </w:pPr>
            <w:r>
              <w:rPr/>
              <w:t> </w:t>
            </w:r>
          </w:p>
        </w:tc>
        <w:tc>
          <w:tcPr>
            <w:tcW w:w="157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09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Cash used in operations</w:t>
            </w:r>
          </w:p>
        </w:tc>
        <w:tc>
          <w:tcPr>
            <w:tcW w:w="169"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567" w:type="dxa"/>
            <w:tcBorders/>
            <w:shd w:fill="CCEEFF" w:val="clear"/>
            <w:vAlign w:val="bottom"/>
          </w:tcPr>
          <w:p>
            <w:pPr>
              <w:pStyle w:val="TableContents"/>
              <w:bidi w:val="0"/>
              <w:spacing w:before="0" w:after="283"/>
              <w:jc w:val="right"/>
              <w:rPr>
                <w:b/>
              </w:rPr>
            </w:pPr>
            <w:r>
              <w:rPr>
                <w:b/>
              </w:rPr>
              <w:t>(5,245</w:t>
            </w:r>
          </w:p>
        </w:tc>
        <w:tc>
          <w:tcPr>
            <w:tcW w:w="238" w:type="dxa"/>
            <w:tcBorders/>
            <w:shd w:fill="CCEEFF" w:val="clear"/>
            <w:vAlign w:val="bottom"/>
          </w:tcPr>
          <w:p>
            <w:pPr>
              <w:pStyle w:val="TableContents"/>
              <w:bidi w:val="0"/>
              <w:spacing w:before="0" w:after="283"/>
              <w:jc w:val="left"/>
              <w:rPr>
                <w:b/>
              </w:rPr>
            </w:pPr>
            <w:r>
              <w:rPr>
                <w:b/>
              </w:rPr>
              <w:t>) </w:t>
            </w:r>
          </w:p>
        </w:tc>
        <w:tc>
          <w:tcPr>
            <w:tcW w:w="142"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579" w:type="dxa"/>
            <w:tcBorders/>
            <w:shd w:fill="CCEEFF" w:val="clear"/>
            <w:vAlign w:val="bottom"/>
          </w:tcPr>
          <w:p>
            <w:pPr>
              <w:pStyle w:val="TableContents"/>
              <w:bidi w:val="0"/>
              <w:spacing w:before="0" w:after="283"/>
              <w:jc w:val="right"/>
              <w:rPr>
                <w:b/>
              </w:rPr>
            </w:pPr>
            <w:r>
              <w:rPr>
                <w:b/>
              </w:rPr>
              <w:t>(8,594</w:t>
            </w:r>
          </w:p>
        </w:tc>
        <w:tc>
          <w:tcPr>
            <w:tcW w:w="159" w:type="dxa"/>
            <w:tcBorders/>
            <w:shd w:fill="CCEEFF" w:val="clear"/>
            <w:vAlign w:val="bottom"/>
          </w:tcPr>
          <w:p>
            <w:pPr>
              <w:pStyle w:val="TableContents"/>
              <w:bidi w:val="0"/>
              <w:spacing w:before="0" w:after="283"/>
              <w:jc w:val="left"/>
              <w:rPr>
                <w:b/>
              </w:rPr>
            </w:pPr>
            <w:r>
              <w:rPr>
                <w:b/>
              </w:rPr>
              <w:t>) </w:t>
            </w:r>
          </w:p>
        </w:tc>
      </w:tr>
      <w:tr>
        <w:trPr/>
        <w:tc>
          <w:tcPr>
            <w:tcW w:w="6090"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pPr>
            <w:r>
              <w:rPr/>
              <w:t>  </w:t>
            </w:r>
          </w:p>
        </w:tc>
        <w:tc>
          <w:tcPr>
            <w:tcW w:w="137" w:type="dxa"/>
            <w:tcBorders/>
            <w:vAlign w:val="bottom"/>
          </w:tcPr>
          <w:p>
            <w:pPr>
              <w:pStyle w:val="TableContents"/>
              <w:pBdr>
                <w:top w:val="single" w:sz="2" w:space="1" w:color="000000"/>
              </w:pBdr>
              <w:bidi w:val="0"/>
              <w:spacing w:before="0" w:after="0"/>
              <w:jc w:val="left"/>
              <w:rPr/>
            </w:pPr>
            <w:r>
              <w:rPr/>
              <w:t> </w:t>
            </w:r>
          </w:p>
        </w:tc>
        <w:tc>
          <w:tcPr>
            <w:tcW w:w="1567" w:type="dxa"/>
            <w:tcBorders/>
            <w:vAlign w:val="bottom"/>
          </w:tcPr>
          <w:p>
            <w:pPr>
              <w:pStyle w:val="TableContents"/>
              <w:pBdr>
                <w:top w:val="single" w:sz="2" w:space="1" w:color="000000"/>
              </w:pBdr>
              <w:bidi w:val="0"/>
              <w:spacing w:before="0" w:after="0"/>
              <w:jc w:val="left"/>
              <w:rPr/>
            </w:pPr>
            <w:r>
              <w:rPr/>
              <w:t> </w:t>
            </w:r>
          </w:p>
        </w:tc>
        <w:tc>
          <w:tcPr>
            <w:tcW w:w="238"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24" w:type="dxa"/>
            <w:tcBorders/>
            <w:vAlign w:val="bottom"/>
          </w:tcPr>
          <w:p>
            <w:pPr>
              <w:pStyle w:val="TableContents"/>
              <w:pBdr>
                <w:top w:val="single" w:sz="2" w:space="1" w:color="000000"/>
              </w:pBdr>
              <w:bidi w:val="0"/>
              <w:spacing w:before="0" w:after="0"/>
              <w:jc w:val="left"/>
              <w:rPr/>
            </w:pPr>
            <w:r>
              <w:rPr/>
              <w:t> </w:t>
            </w:r>
          </w:p>
        </w:tc>
        <w:tc>
          <w:tcPr>
            <w:tcW w:w="157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090" w:type="dxa"/>
            <w:tcBorders/>
          </w:tcPr>
          <w:p>
            <w:pPr>
              <w:pStyle w:val="TableContents"/>
              <w:bidi w:val="0"/>
              <w:spacing w:before="0" w:after="0"/>
              <w:jc w:val="left"/>
              <w:rPr>
                <w:rFonts w:ascii="Times New Roman" w:hAnsi="Times New Roman"/>
                <w:sz w:val="20"/>
              </w:rPr>
            </w:pPr>
            <w:r>
              <w:rPr>
                <w:rFonts w:ascii="Times New Roman" w:hAnsi="Times New Roman"/>
                <w:sz w:val="20"/>
              </w:rPr>
              <w:t>Net income tax received</w:t>
            </w:r>
          </w:p>
        </w:tc>
        <w:tc>
          <w:tcPr>
            <w:tcW w:w="169"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567" w:type="dxa"/>
            <w:tcBorders/>
            <w:vAlign w:val="bottom"/>
          </w:tcPr>
          <w:p>
            <w:pPr>
              <w:pStyle w:val="TableContents"/>
              <w:bidi w:val="0"/>
              <w:spacing w:before="0" w:after="283"/>
              <w:jc w:val="right"/>
              <w:rPr/>
            </w:pPr>
            <w:r>
              <w:rPr/>
              <w:t>— </w:t>
            </w:r>
          </w:p>
        </w:tc>
        <w:tc>
          <w:tcPr>
            <w:tcW w:w="23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579" w:type="dxa"/>
            <w:tcBorders/>
            <w:vAlign w:val="bottom"/>
          </w:tcPr>
          <w:p>
            <w:pPr>
              <w:pStyle w:val="TableContents"/>
              <w:bidi w:val="0"/>
              <w:spacing w:before="0" w:after="283"/>
              <w:jc w:val="right"/>
              <w:rPr/>
            </w:pPr>
            <w:r>
              <w:rPr/>
              <w:t>999</w:t>
            </w:r>
          </w:p>
        </w:tc>
        <w:tc>
          <w:tcPr>
            <w:tcW w:w="159" w:type="dxa"/>
            <w:tcBorders/>
            <w:vAlign w:val="bottom"/>
          </w:tcPr>
          <w:p>
            <w:pPr>
              <w:pStyle w:val="TableContents"/>
              <w:bidi w:val="0"/>
              <w:spacing w:before="0" w:after="283"/>
              <w:jc w:val="left"/>
              <w:rPr/>
            </w:pPr>
            <w:r>
              <w:rPr/>
              <w:t> </w:t>
            </w:r>
          </w:p>
        </w:tc>
      </w:tr>
      <w:tr>
        <w:trPr/>
        <w:tc>
          <w:tcPr>
            <w:tcW w:w="6090"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pPr>
            <w:r>
              <w:rPr/>
              <w:t>  </w:t>
            </w:r>
          </w:p>
        </w:tc>
        <w:tc>
          <w:tcPr>
            <w:tcW w:w="137" w:type="dxa"/>
            <w:tcBorders/>
            <w:vAlign w:val="bottom"/>
          </w:tcPr>
          <w:p>
            <w:pPr>
              <w:pStyle w:val="TableContents"/>
              <w:pBdr>
                <w:top w:val="single" w:sz="2" w:space="1" w:color="000000"/>
              </w:pBdr>
              <w:bidi w:val="0"/>
              <w:spacing w:before="0" w:after="0"/>
              <w:jc w:val="left"/>
              <w:rPr/>
            </w:pPr>
            <w:r>
              <w:rPr/>
              <w:t> </w:t>
            </w:r>
          </w:p>
        </w:tc>
        <w:tc>
          <w:tcPr>
            <w:tcW w:w="1567" w:type="dxa"/>
            <w:tcBorders/>
            <w:vAlign w:val="bottom"/>
          </w:tcPr>
          <w:p>
            <w:pPr>
              <w:pStyle w:val="TableContents"/>
              <w:pBdr>
                <w:top w:val="single" w:sz="2" w:space="1" w:color="000000"/>
              </w:pBdr>
              <w:bidi w:val="0"/>
              <w:spacing w:before="0" w:after="0"/>
              <w:jc w:val="left"/>
              <w:rPr/>
            </w:pPr>
            <w:r>
              <w:rPr/>
              <w:t> </w:t>
            </w:r>
          </w:p>
        </w:tc>
        <w:tc>
          <w:tcPr>
            <w:tcW w:w="238"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24" w:type="dxa"/>
            <w:tcBorders/>
            <w:vAlign w:val="bottom"/>
          </w:tcPr>
          <w:p>
            <w:pPr>
              <w:pStyle w:val="TableContents"/>
              <w:pBdr>
                <w:top w:val="single" w:sz="2" w:space="1" w:color="000000"/>
              </w:pBdr>
              <w:bidi w:val="0"/>
              <w:spacing w:before="0" w:after="0"/>
              <w:jc w:val="left"/>
              <w:rPr/>
            </w:pPr>
            <w:r>
              <w:rPr/>
              <w:t> </w:t>
            </w:r>
          </w:p>
        </w:tc>
        <w:tc>
          <w:tcPr>
            <w:tcW w:w="157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09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cash used in operating activities</w:t>
            </w:r>
          </w:p>
        </w:tc>
        <w:tc>
          <w:tcPr>
            <w:tcW w:w="169"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567" w:type="dxa"/>
            <w:tcBorders/>
            <w:shd w:fill="CCEEFF" w:val="clear"/>
            <w:vAlign w:val="bottom"/>
          </w:tcPr>
          <w:p>
            <w:pPr>
              <w:pStyle w:val="TableContents"/>
              <w:bidi w:val="0"/>
              <w:spacing w:before="0" w:after="283"/>
              <w:jc w:val="right"/>
              <w:rPr>
                <w:b/>
              </w:rPr>
            </w:pPr>
            <w:r>
              <w:rPr>
                <w:b/>
              </w:rPr>
              <w:t>(5,245</w:t>
            </w:r>
          </w:p>
        </w:tc>
        <w:tc>
          <w:tcPr>
            <w:tcW w:w="238" w:type="dxa"/>
            <w:tcBorders/>
            <w:shd w:fill="CCEEFF" w:val="clear"/>
            <w:vAlign w:val="bottom"/>
          </w:tcPr>
          <w:p>
            <w:pPr>
              <w:pStyle w:val="TableContents"/>
              <w:bidi w:val="0"/>
              <w:spacing w:before="0" w:after="283"/>
              <w:jc w:val="left"/>
              <w:rPr>
                <w:b/>
              </w:rPr>
            </w:pPr>
            <w:r>
              <w:rPr>
                <w:b/>
              </w:rPr>
              <w:t>) </w:t>
            </w:r>
          </w:p>
        </w:tc>
        <w:tc>
          <w:tcPr>
            <w:tcW w:w="142"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579" w:type="dxa"/>
            <w:tcBorders/>
            <w:shd w:fill="CCEEFF" w:val="clear"/>
            <w:vAlign w:val="bottom"/>
          </w:tcPr>
          <w:p>
            <w:pPr>
              <w:pStyle w:val="TableContents"/>
              <w:bidi w:val="0"/>
              <w:spacing w:before="0" w:after="283"/>
              <w:jc w:val="right"/>
              <w:rPr>
                <w:b/>
              </w:rPr>
            </w:pPr>
            <w:r>
              <w:rPr>
                <w:b/>
              </w:rPr>
              <w:t>(7,595</w:t>
            </w:r>
          </w:p>
        </w:tc>
        <w:tc>
          <w:tcPr>
            <w:tcW w:w="159" w:type="dxa"/>
            <w:tcBorders/>
            <w:shd w:fill="CCEEFF" w:val="clear"/>
            <w:vAlign w:val="bottom"/>
          </w:tcPr>
          <w:p>
            <w:pPr>
              <w:pStyle w:val="TableContents"/>
              <w:bidi w:val="0"/>
              <w:spacing w:before="0" w:after="283"/>
              <w:jc w:val="left"/>
              <w:rPr>
                <w:b/>
              </w:rPr>
            </w:pPr>
            <w:r>
              <w:rPr>
                <w:b/>
              </w:rPr>
              <w:t>) </w:t>
            </w:r>
          </w:p>
        </w:tc>
      </w:tr>
      <w:tr>
        <w:trPr/>
        <w:tc>
          <w:tcPr>
            <w:tcW w:w="6090"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pPr>
            <w:r>
              <w:rPr/>
              <w:t>  </w:t>
            </w:r>
          </w:p>
        </w:tc>
        <w:tc>
          <w:tcPr>
            <w:tcW w:w="137" w:type="dxa"/>
            <w:tcBorders/>
            <w:vAlign w:val="bottom"/>
          </w:tcPr>
          <w:p>
            <w:pPr>
              <w:pStyle w:val="TableContents"/>
              <w:pBdr>
                <w:top w:val="single" w:sz="2" w:space="1" w:color="000000"/>
              </w:pBdr>
              <w:bidi w:val="0"/>
              <w:spacing w:before="0" w:after="0"/>
              <w:jc w:val="left"/>
              <w:rPr/>
            </w:pPr>
            <w:r>
              <w:rPr/>
              <w:t> </w:t>
            </w:r>
          </w:p>
        </w:tc>
        <w:tc>
          <w:tcPr>
            <w:tcW w:w="1567" w:type="dxa"/>
            <w:tcBorders/>
            <w:vAlign w:val="bottom"/>
          </w:tcPr>
          <w:p>
            <w:pPr>
              <w:pStyle w:val="TableContents"/>
              <w:pBdr>
                <w:top w:val="single" w:sz="2" w:space="1" w:color="000000"/>
              </w:pBdr>
              <w:bidi w:val="0"/>
              <w:spacing w:before="0" w:after="0"/>
              <w:jc w:val="left"/>
              <w:rPr/>
            </w:pPr>
            <w:r>
              <w:rPr/>
              <w:t> </w:t>
            </w:r>
          </w:p>
        </w:tc>
        <w:tc>
          <w:tcPr>
            <w:tcW w:w="238"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24" w:type="dxa"/>
            <w:tcBorders/>
            <w:vAlign w:val="bottom"/>
          </w:tcPr>
          <w:p>
            <w:pPr>
              <w:pStyle w:val="TableContents"/>
              <w:pBdr>
                <w:top w:val="single" w:sz="2" w:space="1" w:color="000000"/>
              </w:pBdr>
              <w:bidi w:val="0"/>
              <w:spacing w:before="0" w:after="0"/>
              <w:jc w:val="left"/>
              <w:rPr/>
            </w:pPr>
            <w:r>
              <w:rPr/>
              <w:t> </w:t>
            </w:r>
          </w:p>
        </w:tc>
        <w:tc>
          <w:tcPr>
            <w:tcW w:w="157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090"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169"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sz w:val="4"/>
                <w:szCs w:val="4"/>
              </w:rPr>
            </w:pPr>
            <w:r>
              <w:rPr>
                <w:sz w:val="4"/>
                <w:szCs w:val="4"/>
              </w:rPr>
            </w:r>
          </w:p>
        </w:tc>
        <w:tc>
          <w:tcPr>
            <w:tcW w:w="1567" w:type="dxa"/>
            <w:tcBorders/>
            <w:vAlign w:val="bottom"/>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1579"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0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received</w:t>
            </w:r>
          </w:p>
        </w:tc>
        <w:tc>
          <w:tcPr>
            <w:tcW w:w="169"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567" w:type="dxa"/>
            <w:tcBorders/>
            <w:shd w:fill="CCEEFF" w:val="clear"/>
            <w:vAlign w:val="bottom"/>
          </w:tcPr>
          <w:p>
            <w:pPr>
              <w:pStyle w:val="TableContents"/>
              <w:bidi w:val="0"/>
              <w:spacing w:before="0" w:after="283"/>
              <w:jc w:val="right"/>
              <w:rPr/>
            </w:pPr>
            <w:r>
              <w:rPr/>
              <w:t>286</w:t>
            </w:r>
          </w:p>
        </w:tc>
        <w:tc>
          <w:tcPr>
            <w:tcW w:w="23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579" w:type="dxa"/>
            <w:tcBorders/>
            <w:shd w:fill="CCEEFF" w:val="clear"/>
            <w:vAlign w:val="bottom"/>
          </w:tcPr>
          <w:p>
            <w:pPr>
              <w:pStyle w:val="TableContents"/>
              <w:bidi w:val="0"/>
              <w:spacing w:before="0" w:after="283"/>
              <w:jc w:val="right"/>
              <w:rPr/>
            </w:pPr>
            <w:r>
              <w:rPr/>
              <w:t>57</w:t>
            </w:r>
          </w:p>
        </w:tc>
        <w:tc>
          <w:tcPr>
            <w:tcW w:w="159" w:type="dxa"/>
            <w:tcBorders/>
            <w:shd w:fill="CCEEFF" w:val="clear"/>
            <w:vAlign w:val="bottom"/>
          </w:tcPr>
          <w:p>
            <w:pPr>
              <w:pStyle w:val="TableContents"/>
              <w:bidi w:val="0"/>
              <w:spacing w:before="0" w:after="283"/>
              <w:jc w:val="left"/>
              <w:rPr/>
            </w:pPr>
            <w:r>
              <w:rPr/>
              <w:t> </w:t>
            </w:r>
          </w:p>
        </w:tc>
      </w:tr>
      <w:tr>
        <w:trPr/>
        <w:tc>
          <w:tcPr>
            <w:tcW w:w="6090" w:type="dxa"/>
            <w:tcBorders/>
          </w:tcPr>
          <w:p>
            <w:pPr>
              <w:pStyle w:val="TableContents"/>
              <w:bidi w:val="0"/>
              <w:spacing w:before="0" w:after="0"/>
              <w:jc w:val="left"/>
              <w:rPr>
                <w:rFonts w:ascii="Times New Roman" w:hAnsi="Times New Roman"/>
                <w:sz w:val="20"/>
              </w:rPr>
            </w:pPr>
            <w:r>
              <w:rPr>
                <w:rFonts w:ascii="Times New Roman" w:hAnsi="Times New Roman"/>
                <w:sz w:val="20"/>
              </w:rPr>
              <w:t>Payments for intangible assets</w:t>
            </w:r>
          </w:p>
        </w:tc>
        <w:tc>
          <w:tcPr>
            <w:tcW w:w="169"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567" w:type="dxa"/>
            <w:tcBorders/>
            <w:vAlign w:val="bottom"/>
          </w:tcPr>
          <w:p>
            <w:pPr>
              <w:pStyle w:val="TableContents"/>
              <w:bidi w:val="0"/>
              <w:spacing w:before="0" w:after="283"/>
              <w:jc w:val="right"/>
              <w:rPr/>
            </w:pPr>
            <w:r>
              <w:rPr/>
              <w:t>(111</w:t>
            </w:r>
          </w:p>
        </w:tc>
        <w:tc>
          <w:tcPr>
            <w:tcW w:w="23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579" w:type="dxa"/>
            <w:tcBorders/>
            <w:vAlign w:val="bottom"/>
          </w:tcPr>
          <w:p>
            <w:pPr>
              <w:pStyle w:val="TableContents"/>
              <w:bidi w:val="0"/>
              <w:spacing w:before="0" w:after="283"/>
              <w:jc w:val="right"/>
              <w:rPr/>
            </w:pPr>
            <w:r>
              <w:rPr/>
              <w:t>(96</w:t>
            </w:r>
          </w:p>
        </w:tc>
        <w:tc>
          <w:tcPr>
            <w:tcW w:w="159" w:type="dxa"/>
            <w:tcBorders/>
            <w:vAlign w:val="bottom"/>
          </w:tcPr>
          <w:p>
            <w:pPr>
              <w:pStyle w:val="TableContents"/>
              <w:bidi w:val="0"/>
              <w:spacing w:before="0" w:after="283"/>
              <w:jc w:val="left"/>
              <w:rPr/>
            </w:pPr>
            <w:r>
              <w:rPr/>
              <w:t>) </w:t>
            </w:r>
          </w:p>
        </w:tc>
      </w:tr>
      <w:tr>
        <w:trPr/>
        <w:tc>
          <w:tcPr>
            <w:tcW w:w="6090"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pPr>
            <w:r>
              <w:rPr/>
              <w:t>  </w:t>
            </w:r>
          </w:p>
        </w:tc>
        <w:tc>
          <w:tcPr>
            <w:tcW w:w="137" w:type="dxa"/>
            <w:tcBorders/>
            <w:vAlign w:val="bottom"/>
          </w:tcPr>
          <w:p>
            <w:pPr>
              <w:pStyle w:val="TableContents"/>
              <w:pBdr>
                <w:top w:val="single" w:sz="2" w:space="1" w:color="000000"/>
              </w:pBdr>
              <w:bidi w:val="0"/>
              <w:spacing w:before="0" w:after="0"/>
              <w:jc w:val="left"/>
              <w:rPr/>
            </w:pPr>
            <w:r>
              <w:rPr/>
              <w:t> </w:t>
            </w:r>
          </w:p>
        </w:tc>
        <w:tc>
          <w:tcPr>
            <w:tcW w:w="1567" w:type="dxa"/>
            <w:tcBorders/>
            <w:vAlign w:val="bottom"/>
          </w:tcPr>
          <w:p>
            <w:pPr>
              <w:pStyle w:val="TableContents"/>
              <w:pBdr>
                <w:top w:val="single" w:sz="2" w:space="1" w:color="000000"/>
              </w:pBdr>
              <w:bidi w:val="0"/>
              <w:spacing w:before="0" w:after="0"/>
              <w:jc w:val="left"/>
              <w:rPr/>
            </w:pPr>
            <w:r>
              <w:rPr/>
              <w:t> </w:t>
            </w:r>
          </w:p>
        </w:tc>
        <w:tc>
          <w:tcPr>
            <w:tcW w:w="238"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24" w:type="dxa"/>
            <w:tcBorders/>
            <w:vAlign w:val="bottom"/>
          </w:tcPr>
          <w:p>
            <w:pPr>
              <w:pStyle w:val="TableContents"/>
              <w:pBdr>
                <w:top w:val="single" w:sz="2" w:space="1" w:color="000000"/>
              </w:pBdr>
              <w:bidi w:val="0"/>
              <w:spacing w:before="0" w:after="0"/>
              <w:jc w:val="left"/>
              <w:rPr/>
            </w:pPr>
            <w:r>
              <w:rPr/>
              <w:t> </w:t>
            </w:r>
          </w:p>
        </w:tc>
        <w:tc>
          <w:tcPr>
            <w:tcW w:w="157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09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cash from (used in) investing activities</w:t>
            </w:r>
          </w:p>
        </w:tc>
        <w:tc>
          <w:tcPr>
            <w:tcW w:w="169"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567" w:type="dxa"/>
            <w:tcBorders/>
            <w:shd w:fill="CCEEFF" w:val="clear"/>
            <w:vAlign w:val="bottom"/>
          </w:tcPr>
          <w:p>
            <w:pPr>
              <w:pStyle w:val="TableContents"/>
              <w:bidi w:val="0"/>
              <w:spacing w:before="0" w:after="283"/>
              <w:jc w:val="right"/>
              <w:rPr>
                <w:b/>
              </w:rPr>
            </w:pPr>
            <w:r>
              <w:rPr>
                <w:b/>
              </w:rPr>
              <w:t>175</w:t>
            </w:r>
          </w:p>
        </w:tc>
        <w:tc>
          <w:tcPr>
            <w:tcW w:w="23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579" w:type="dxa"/>
            <w:tcBorders/>
            <w:shd w:fill="CCEEFF" w:val="clear"/>
            <w:vAlign w:val="bottom"/>
          </w:tcPr>
          <w:p>
            <w:pPr>
              <w:pStyle w:val="TableContents"/>
              <w:bidi w:val="0"/>
              <w:spacing w:before="0" w:after="283"/>
              <w:jc w:val="right"/>
              <w:rPr>
                <w:b/>
              </w:rPr>
            </w:pPr>
            <w:r>
              <w:rPr>
                <w:b/>
              </w:rPr>
              <w:t>(39</w:t>
            </w:r>
          </w:p>
        </w:tc>
        <w:tc>
          <w:tcPr>
            <w:tcW w:w="159" w:type="dxa"/>
            <w:tcBorders/>
            <w:shd w:fill="CCEEFF" w:val="clear"/>
            <w:vAlign w:val="bottom"/>
          </w:tcPr>
          <w:p>
            <w:pPr>
              <w:pStyle w:val="TableContents"/>
              <w:bidi w:val="0"/>
              <w:spacing w:before="0" w:after="283"/>
              <w:jc w:val="left"/>
              <w:rPr>
                <w:b/>
              </w:rPr>
            </w:pPr>
            <w:r>
              <w:rPr>
                <w:b/>
              </w:rPr>
              <w:t>) </w:t>
            </w:r>
          </w:p>
        </w:tc>
      </w:tr>
      <w:tr>
        <w:trPr/>
        <w:tc>
          <w:tcPr>
            <w:tcW w:w="6090"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pPr>
            <w:r>
              <w:rPr/>
              <w:t>  </w:t>
            </w:r>
          </w:p>
        </w:tc>
        <w:tc>
          <w:tcPr>
            <w:tcW w:w="137" w:type="dxa"/>
            <w:tcBorders/>
            <w:vAlign w:val="bottom"/>
          </w:tcPr>
          <w:p>
            <w:pPr>
              <w:pStyle w:val="TableContents"/>
              <w:pBdr>
                <w:top w:val="single" w:sz="2" w:space="1" w:color="000000"/>
              </w:pBdr>
              <w:bidi w:val="0"/>
              <w:spacing w:before="0" w:after="0"/>
              <w:jc w:val="left"/>
              <w:rPr/>
            </w:pPr>
            <w:r>
              <w:rPr/>
              <w:t> </w:t>
            </w:r>
          </w:p>
        </w:tc>
        <w:tc>
          <w:tcPr>
            <w:tcW w:w="1567" w:type="dxa"/>
            <w:tcBorders/>
            <w:vAlign w:val="bottom"/>
          </w:tcPr>
          <w:p>
            <w:pPr>
              <w:pStyle w:val="TableContents"/>
              <w:pBdr>
                <w:top w:val="single" w:sz="2" w:space="1" w:color="000000"/>
              </w:pBdr>
              <w:bidi w:val="0"/>
              <w:spacing w:before="0" w:after="0"/>
              <w:jc w:val="left"/>
              <w:rPr/>
            </w:pPr>
            <w:r>
              <w:rPr/>
              <w:t> </w:t>
            </w:r>
          </w:p>
        </w:tc>
        <w:tc>
          <w:tcPr>
            <w:tcW w:w="238"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24" w:type="dxa"/>
            <w:tcBorders/>
            <w:vAlign w:val="bottom"/>
          </w:tcPr>
          <w:p>
            <w:pPr>
              <w:pStyle w:val="TableContents"/>
              <w:pBdr>
                <w:top w:val="single" w:sz="2" w:space="1" w:color="000000"/>
              </w:pBdr>
              <w:bidi w:val="0"/>
              <w:spacing w:before="0" w:after="0"/>
              <w:jc w:val="left"/>
              <w:rPr/>
            </w:pPr>
            <w:r>
              <w:rPr/>
              <w:t> </w:t>
            </w:r>
          </w:p>
        </w:tc>
        <w:tc>
          <w:tcPr>
            <w:tcW w:w="157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090"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169"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sz w:val="4"/>
                <w:szCs w:val="4"/>
              </w:rPr>
            </w:pPr>
            <w:r>
              <w:rPr>
                <w:sz w:val="4"/>
                <w:szCs w:val="4"/>
              </w:rPr>
            </w:r>
          </w:p>
        </w:tc>
        <w:tc>
          <w:tcPr>
            <w:tcW w:w="1567" w:type="dxa"/>
            <w:tcBorders/>
            <w:vAlign w:val="bottom"/>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1579"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0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Payments for lease liabilities</w:t>
            </w:r>
          </w:p>
        </w:tc>
        <w:tc>
          <w:tcPr>
            <w:tcW w:w="169"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567" w:type="dxa"/>
            <w:tcBorders/>
            <w:shd w:fill="CCEEFF" w:val="clear"/>
            <w:vAlign w:val="bottom"/>
          </w:tcPr>
          <w:p>
            <w:pPr>
              <w:pStyle w:val="TableContents"/>
              <w:bidi w:val="0"/>
              <w:spacing w:before="0" w:after="283"/>
              <w:jc w:val="right"/>
              <w:rPr/>
            </w:pPr>
            <w:r>
              <w:rPr/>
              <w:t>(27</w:t>
            </w:r>
          </w:p>
        </w:tc>
        <w:tc>
          <w:tcPr>
            <w:tcW w:w="23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579" w:type="dxa"/>
            <w:tcBorders/>
            <w:shd w:fill="CCEEFF" w:val="clear"/>
            <w:vAlign w:val="bottom"/>
          </w:tcPr>
          <w:p>
            <w:pPr>
              <w:pStyle w:val="TableContents"/>
              <w:bidi w:val="0"/>
              <w:spacing w:before="0" w:after="283"/>
              <w:jc w:val="right"/>
              <w:rPr/>
            </w:pPr>
            <w:r>
              <w:rPr/>
              <w:t>(41</w:t>
            </w:r>
          </w:p>
        </w:tc>
        <w:tc>
          <w:tcPr>
            <w:tcW w:w="159" w:type="dxa"/>
            <w:tcBorders/>
            <w:shd w:fill="CCEEFF" w:val="clear"/>
            <w:vAlign w:val="bottom"/>
          </w:tcPr>
          <w:p>
            <w:pPr>
              <w:pStyle w:val="TableContents"/>
              <w:bidi w:val="0"/>
              <w:spacing w:before="0" w:after="283"/>
              <w:jc w:val="left"/>
              <w:rPr/>
            </w:pPr>
            <w:r>
              <w:rPr/>
              <w:t>) </w:t>
            </w:r>
          </w:p>
        </w:tc>
      </w:tr>
      <w:tr>
        <w:trPr/>
        <w:tc>
          <w:tcPr>
            <w:tcW w:w="6090"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exercise of share options</w:t>
            </w:r>
          </w:p>
        </w:tc>
        <w:tc>
          <w:tcPr>
            <w:tcW w:w="169"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567" w:type="dxa"/>
            <w:tcBorders/>
            <w:vAlign w:val="bottom"/>
          </w:tcPr>
          <w:p>
            <w:pPr>
              <w:pStyle w:val="TableContents"/>
              <w:bidi w:val="0"/>
              <w:spacing w:before="0" w:after="283"/>
              <w:jc w:val="right"/>
              <w:rPr/>
            </w:pPr>
            <w:r>
              <w:rPr/>
              <w:t>— </w:t>
            </w:r>
          </w:p>
        </w:tc>
        <w:tc>
          <w:tcPr>
            <w:tcW w:w="23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579" w:type="dxa"/>
            <w:tcBorders/>
            <w:vAlign w:val="bottom"/>
          </w:tcPr>
          <w:p>
            <w:pPr>
              <w:pStyle w:val="TableContents"/>
              <w:bidi w:val="0"/>
              <w:spacing w:before="0" w:after="283"/>
              <w:jc w:val="right"/>
              <w:rPr/>
            </w:pPr>
            <w:r>
              <w:rPr/>
              <w:t>1</w:t>
            </w:r>
          </w:p>
        </w:tc>
        <w:tc>
          <w:tcPr>
            <w:tcW w:w="159" w:type="dxa"/>
            <w:tcBorders/>
            <w:vAlign w:val="bottom"/>
          </w:tcPr>
          <w:p>
            <w:pPr>
              <w:pStyle w:val="TableContents"/>
              <w:bidi w:val="0"/>
              <w:spacing w:before="0" w:after="283"/>
              <w:jc w:val="left"/>
              <w:rPr/>
            </w:pPr>
            <w:r>
              <w:rPr/>
              <w:t> </w:t>
            </w:r>
          </w:p>
        </w:tc>
      </w:tr>
      <w:tr>
        <w:trPr/>
        <w:tc>
          <w:tcPr>
            <w:tcW w:w="60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issue of share capital</w:t>
            </w:r>
          </w:p>
        </w:tc>
        <w:tc>
          <w:tcPr>
            <w:tcW w:w="169"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567" w:type="dxa"/>
            <w:tcBorders/>
            <w:shd w:fill="CCEEFF" w:val="clear"/>
            <w:vAlign w:val="bottom"/>
          </w:tcPr>
          <w:p>
            <w:pPr>
              <w:pStyle w:val="TableContents"/>
              <w:bidi w:val="0"/>
              <w:spacing w:before="0" w:after="283"/>
              <w:jc w:val="right"/>
              <w:rPr/>
            </w:pPr>
            <w:r>
              <w:rPr/>
              <w:t>206</w:t>
            </w:r>
          </w:p>
        </w:tc>
        <w:tc>
          <w:tcPr>
            <w:tcW w:w="23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579" w:type="dxa"/>
            <w:tcBorders/>
            <w:shd w:fill="CCEEFF" w:val="clear"/>
            <w:vAlign w:val="bottom"/>
          </w:tcPr>
          <w:p>
            <w:pPr>
              <w:pStyle w:val="TableContents"/>
              <w:bidi w:val="0"/>
              <w:spacing w:before="0" w:after="283"/>
              <w:jc w:val="right"/>
              <w:rPr/>
            </w:pPr>
            <w:r>
              <w:rPr/>
              <w:t>1,222</w:t>
            </w:r>
          </w:p>
        </w:tc>
        <w:tc>
          <w:tcPr>
            <w:tcW w:w="159" w:type="dxa"/>
            <w:tcBorders/>
            <w:shd w:fill="CCEEFF" w:val="clear"/>
            <w:vAlign w:val="bottom"/>
          </w:tcPr>
          <w:p>
            <w:pPr>
              <w:pStyle w:val="TableContents"/>
              <w:bidi w:val="0"/>
              <w:spacing w:before="0" w:after="283"/>
              <w:jc w:val="left"/>
              <w:rPr/>
            </w:pPr>
            <w:r>
              <w:rPr/>
              <w:t> </w:t>
            </w:r>
          </w:p>
        </w:tc>
      </w:tr>
      <w:tr>
        <w:trPr/>
        <w:tc>
          <w:tcPr>
            <w:tcW w:w="6090"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exercise of warrants</w:t>
            </w:r>
          </w:p>
        </w:tc>
        <w:tc>
          <w:tcPr>
            <w:tcW w:w="169"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567" w:type="dxa"/>
            <w:tcBorders/>
            <w:vAlign w:val="bottom"/>
          </w:tcPr>
          <w:p>
            <w:pPr>
              <w:pStyle w:val="TableContents"/>
              <w:bidi w:val="0"/>
              <w:spacing w:before="0" w:after="283"/>
              <w:jc w:val="right"/>
              <w:rPr/>
            </w:pPr>
            <w:r>
              <w:rPr/>
              <w:t>— </w:t>
            </w:r>
          </w:p>
        </w:tc>
        <w:tc>
          <w:tcPr>
            <w:tcW w:w="23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579" w:type="dxa"/>
            <w:tcBorders/>
            <w:vAlign w:val="bottom"/>
          </w:tcPr>
          <w:p>
            <w:pPr>
              <w:pStyle w:val="TableContents"/>
              <w:bidi w:val="0"/>
              <w:spacing w:before="0" w:after="283"/>
              <w:jc w:val="right"/>
              <w:rPr/>
            </w:pPr>
            <w:r>
              <w:rPr/>
              <w:t>4,436</w:t>
            </w:r>
          </w:p>
        </w:tc>
        <w:tc>
          <w:tcPr>
            <w:tcW w:w="159" w:type="dxa"/>
            <w:tcBorders/>
            <w:vAlign w:val="bottom"/>
          </w:tcPr>
          <w:p>
            <w:pPr>
              <w:pStyle w:val="TableContents"/>
              <w:bidi w:val="0"/>
              <w:spacing w:before="0" w:after="283"/>
              <w:jc w:val="left"/>
              <w:rPr/>
            </w:pPr>
            <w:r>
              <w:rPr/>
              <w:t> </w:t>
            </w:r>
          </w:p>
        </w:tc>
      </w:tr>
      <w:tr>
        <w:trPr/>
        <w:tc>
          <w:tcPr>
            <w:tcW w:w="60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issue of warrants</w:t>
            </w:r>
          </w:p>
        </w:tc>
        <w:tc>
          <w:tcPr>
            <w:tcW w:w="169"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567" w:type="dxa"/>
            <w:tcBorders/>
            <w:shd w:fill="CCEEFF" w:val="clear"/>
            <w:vAlign w:val="bottom"/>
          </w:tcPr>
          <w:p>
            <w:pPr>
              <w:pStyle w:val="TableContents"/>
              <w:bidi w:val="0"/>
              <w:spacing w:before="0" w:after="283"/>
              <w:jc w:val="right"/>
              <w:rPr/>
            </w:pPr>
            <w:r>
              <w:rPr/>
              <w:t>— </w:t>
            </w:r>
          </w:p>
        </w:tc>
        <w:tc>
          <w:tcPr>
            <w:tcW w:w="23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579" w:type="dxa"/>
            <w:tcBorders/>
            <w:shd w:fill="CCEEFF" w:val="clear"/>
            <w:vAlign w:val="bottom"/>
          </w:tcPr>
          <w:p>
            <w:pPr>
              <w:pStyle w:val="TableContents"/>
              <w:bidi w:val="0"/>
              <w:spacing w:before="0" w:after="283"/>
              <w:jc w:val="right"/>
              <w:rPr/>
            </w:pPr>
            <w:r>
              <w:rPr/>
              <w:t>4,439</w:t>
            </w:r>
          </w:p>
        </w:tc>
        <w:tc>
          <w:tcPr>
            <w:tcW w:w="159" w:type="dxa"/>
            <w:tcBorders/>
            <w:shd w:fill="CCEEFF" w:val="clear"/>
            <w:vAlign w:val="bottom"/>
          </w:tcPr>
          <w:p>
            <w:pPr>
              <w:pStyle w:val="TableContents"/>
              <w:bidi w:val="0"/>
              <w:spacing w:before="0" w:after="283"/>
              <w:jc w:val="left"/>
              <w:rPr/>
            </w:pPr>
            <w:r>
              <w:rPr/>
              <w:t> </w:t>
            </w:r>
          </w:p>
        </w:tc>
      </w:tr>
      <w:tr>
        <w:trPr/>
        <w:tc>
          <w:tcPr>
            <w:tcW w:w="6090" w:type="dxa"/>
            <w:tcBorders/>
          </w:tcPr>
          <w:p>
            <w:pPr>
              <w:pStyle w:val="TableContents"/>
              <w:bidi w:val="0"/>
              <w:spacing w:before="0" w:after="0"/>
              <w:jc w:val="left"/>
              <w:rPr>
                <w:rFonts w:ascii="Times New Roman" w:hAnsi="Times New Roman"/>
                <w:sz w:val="20"/>
              </w:rPr>
            </w:pPr>
            <w:r>
              <w:rPr>
                <w:rFonts w:ascii="Times New Roman" w:hAnsi="Times New Roman"/>
                <w:sz w:val="20"/>
              </w:rPr>
              <w:t>Share issue expenses</w:t>
            </w:r>
          </w:p>
        </w:tc>
        <w:tc>
          <w:tcPr>
            <w:tcW w:w="169"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567" w:type="dxa"/>
            <w:tcBorders/>
            <w:vAlign w:val="bottom"/>
          </w:tcPr>
          <w:p>
            <w:pPr>
              <w:pStyle w:val="TableContents"/>
              <w:bidi w:val="0"/>
              <w:spacing w:before="0" w:after="283"/>
              <w:jc w:val="right"/>
              <w:rPr/>
            </w:pPr>
            <w:r>
              <w:rPr/>
              <w:t>(135</w:t>
            </w:r>
          </w:p>
        </w:tc>
        <w:tc>
          <w:tcPr>
            <w:tcW w:w="23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579" w:type="dxa"/>
            <w:tcBorders/>
            <w:vAlign w:val="bottom"/>
          </w:tcPr>
          <w:p>
            <w:pPr>
              <w:pStyle w:val="TableContents"/>
              <w:bidi w:val="0"/>
              <w:spacing w:before="0" w:after="283"/>
              <w:jc w:val="right"/>
              <w:rPr/>
            </w:pPr>
            <w:r>
              <w:rPr/>
              <w:t>(296</w:t>
            </w:r>
          </w:p>
        </w:tc>
        <w:tc>
          <w:tcPr>
            <w:tcW w:w="159" w:type="dxa"/>
            <w:tcBorders/>
            <w:vAlign w:val="bottom"/>
          </w:tcPr>
          <w:p>
            <w:pPr>
              <w:pStyle w:val="TableContents"/>
              <w:bidi w:val="0"/>
              <w:spacing w:before="0" w:after="283"/>
              <w:jc w:val="left"/>
              <w:rPr/>
            </w:pPr>
            <w:r>
              <w:rPr/>
              <w:t>) </w:t>
            </w:r>
          </w:p>
        </w:tc>
      </w:tr>
      <w:tr>
        <w:trPr/>
        <w:tc>
          <w:tcPr>
            <w:tcW w:w="6090"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pPr>
            <w:r>
              <w:rPr/>
              <w:t>  </w:t>
            </w:r>
          </w:p>
        </w:tc>
        <w:tc>
          <w:tcPr>
            <w:tcW w:w="137" w:type="dxa"/>
            <w:tcBorders/>
            <w:vAlign w:val="bottom"/>
          </w:tcPr>
          <w:p>
            <w:pPr>
              <w:pStyle w:val="TableContents"/>
              <w:pBdr>
                <w:top w:val="single" w:sz="2" w:space="1" w:color="000000"/>
              </w:pBdr>
              <w:bidi w:val="0"/>
              <w:spacing w:before="0" w:after="0"/>
              <w:jc w:val="left"/>
              <w:rPr/>
            </w:pPr>
            <w:r>
              <w:rPr/>
              <w:t> </w:t>
            </w:r>
          </w:p>
        </w:tc>
        <w:tc>
          <w:tcPr>
            <w:tcW w:w="1567" w:type="dxa"/>
            <w:tcBorders/>
            <w:vAlign w:val="bottom"/>
          </w:tcPr>
          <w:p>
            <w:pPr>
              <w:pStyle w:val="TableContents"/>
              <w:pBdr>
                <w:top w:val="single" w:sz="2" w:space="1" w:color="000000"/>
              </w:pBdr>
              <w:bidi w:val="0"/>
              <w:spacing w:before="0" w:after="0"/>
              <w:jc w:val="left"/>
              <w:rPr/>
            </w:pPr>
            <w:r>
              <w:rPr/>
              <w:t> </w:t>
            </w:r>
          </w:p>
        </w:tc>
        <w:tc>
          <w:tcPr>
            <w:tcW w:w="238"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24" w:type="dxa"/>
            <w:tcBorders/>
            <w:vAlign w:val="bottom"/>
          </w:tcPr>
          <w:p>
            <w:pPr>
              <w:pStyle w:val="TableContents"/>
              <w:pBdr>
                <w:top w:val="single" w:sz="2" w:space="1" w:color="000000"/>
              </w:pBdr>
              <w:bidi w:val="0"/>
              <w:spacing w:before="0" w:after="0"/>
              <w:jc w:val="left"/>
              <w:rPr/>
            </w:pPr>
            <w:r>
              <w:rPr/>
              <w:t> </w:t>
            </w:r>
          </w:p>
        </w:tc>
        <w:tc>
          <w:tcPr>
            <w:tcW w:w="157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09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cash from financing activities</w:t>
            </w:r>
          </w:p>
        </w:tc>
        <w:tc>
          <w:tcPr>
            <w:tcW w:w="169"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567" w:type="dxa"/>
            <w:tcBorders/>
            <w:shd w:fill="CCEEFF" w:val="clear"/>
            <w:vAlign w:val="bottom"/>
          </w:tcPr>
          <w:p>
            <w:pPr>
              <w:pStyle w:val="TableContents"/>
              <w:bidi w:val="0"/>
              <w:spacing w:before="0" w:after="283"/>
              <w:jc w:val="right"/>
              <w:rPr>
                <w:b/>
              </w:rPr>
            </w:pPr>
            <w:r>
              <w:rPr>
                <w:b/>
              </w:rPr>
              <w:t>44</w:t>
            </w:r>
          </w:p>
        </w:tc>
        <w:tc>
          <w:tcPr>
            <w:tcW w:w="23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579" w:type="dxa"/>
            <w:tcBorders/>
            <w:shd w:fill="CCEEFF" w:val="clear"/>
            <w:vAlign w:val="bottom"/>
          </w:tcPr>
          <w:p>
            <w:pPr>
              <w:pStyle w:val="TableContents"/>
              <w:bidi w:val="0"/>
              <w:spacing w:before="0" w:after="283"/>
              <w:jc w:val="right"/>
              <w:rPr>
                <w:b/>
              </w:rPr>
            </w:pPr>
            <w:r>
              <w:rPr>
                <w:b/>
              </w:rPr>
              <w:t>9,761</w:t>
            </w:r>
          </w:p>
        </w:tc>
        <w:tc>
          <w:tcPr>
            <w:tcW w:w="159" w:type="dxa"/>
            <w:tcBorders/>
            <w:shd w:fill="CCEEFF" w:val="clear"/>
            <w:vAlign w:val="bottom"/>
          </w:tcPr>
          <w:p>
            <w:pPr>
              <w:pStyle w:val="TableContents"/>
              <w:bidi w:val="0"/>
              <w:spacing w:before="0" w:after="283"/>
              <w:jc w:val="left"/>
              <w:rPr/>
            </w:pPr>
            <w:r>
              <w:rPr/>
              <w:t> </w:t>
            </w:r>
          </w:p>
        </w:tc>
      </w:tr>
      <w:tr>
        <w:trPr/>
        <w:tc>
          <w:tcPr>
            <w:tcW w:w="6090"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pPr>
            <w:r>
              <w:rPr/>
              <w:t>  </w:t>
            </w:r>
          </w:p>
        </w:tc>
        <w:tc>
          <w:tcPr>
            <w:tcW w:w="137" w:type="dxa"/>
            <w:tcBorders/>
            <w:vAlign w:val="bottom"/>
          </w:tcPr>
          <w:p>
            <w:pPr>
              <w:pStyle w:val="TableContents"/>
              <w:pBdr>
                <w:top w:val="single" w:sz="2" w:space="1" w:color="000000"/>
              </w:pBdr>
              <w:bidi w:val="0"/>
              <w:spacing w:before="0" w:after="0"/>
              <w:jc w:val="left"/>
              <w:rPr/>
            </w:pPr>
            <w:r>
              <w:rPr/>
              <w:t> </w:t>
            </w:r>
          </w:p>
        </w:tc>
        <w:tc>
          <w:tcPr>
            <w:tcW w:w="1567" w:type="dxa"/>
            <w:tcBorders/>
            <w:vAlign w:val="bottom"/>
          </w:tcPr>
          <w:p>
            <w:pPr>
              <w:pStyle w:val="TableContents"/>
              <w:pBdr>
                <w:top w:val="single" w:sz="2" w:space="1" w:color="000000"/>
              </w:pBdr>
              <w:bidi w:val="0"/>
              <w:spacing w:before="0" w:after="0"/>
              <w:jc w:val="left"/>
              <w:rPr/>
            </w:pPr>
            <w:r>
              <w:rPr/>
              <w:t> </w:t>
            </w:r>
          </w:p>
        </w:tc>
        <w:tc>
          <w:tcPr>
            <w:tcW w:w="238"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24" w:type="dxa"/>
            <w:tcBorders/>
            <w:vAlign w:val="bottom"/>
          </w:tcPr>
          <w:p>
            <w:pPr>
              <w:pStyle w:val="TableContents"/>
              <w:pBdr>
                <w:top w:val="single" w:sz="2" w:space="1" w:color="000000"/>
              </w:pBdr>
              <w:bidi w:val="0"/>
              <w:spacing w:before="0" w:after="0"/>
              <w:jc w:val="left"/>
              <w:rPr/>
            </w:pPr>
            <w:r>
              <w:rPr/>
              <w:t> </w:t>
            </w:r>
          </w:p>
        </w:tc>
        <w:tc>
          <w:tcPr>
            <w:tcW w:w="157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090" w:type="dxa"/>
            <w:tcBorders/>
          </w:tcPr>
          <w:p>
            <w:pPr>
              <w:pStyle w:val="TableContents"/>
              <w:bidi w:val="0"/>
              <w:spacing w:before="0" w:after="0"/>
              <w:jc w:val="left"/>
              <w:rPr>
                <w:rFonts w:ascii="Times New Roman" w:hAnsi="Times New Roman"/>
                <w:sz w:val="20"/>
              </w:rPr>
            </w:pPr>
            <w:r>
              <w:rPr>
                <w:rFonts w:ascii="Times New Roman" w:hAnsi="Times New Roman"/>
                <w:sz w:val="20"/>
              </w:rPr>
              <w:t>Net (decrease) increase in cash and cash equivalents</w:t>
            </w:r>
          </w:p>
        </w:tc>
        <w:tc>
          <w:tcPr>
            <w:tcW w:w="169"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567" w:type="dxa"/>
            <w:tcBorders/>
            <w:vAlign w:val="bottom"/>
          </w:tcPr>
          <w:p>
            <w:pPr>
              <w:pStyle w:val="TableContents"/>
              <w:bidi w:val="0"/>
              <w:spacing w:before="0" w:after="283"/>
              <w:jc w:val="right"/>
              <w:rPr/>
            </w:pPr>
            <w:r>
              <w:rPr/>
              <w:t>(5,026</w:t>
            </w:r>
          </w:p>
        </w:tc>
        <w:tc>
          <w:tcPr>
            <w:tcW w:w="23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579" w:type="dxa"/>
            <w:tcBorders/>
            <w:vAlign w:val="bottom"/>
          </w:tcPr>
          <w:p>
            <w:pPr>
              <w:pStyle w:val="TableContents"/>
              <w:bidi w:val="0"/>
              <w:spacing w:before="0" w:after="283"/>
              <w:jc w:val="right"/>
              <w:rPr/>
            </w:pPr>
            <w:r>
              <w:rPr/>
              <w:t>2,127</w:t>
            </w:r>
          </w:p>
        </w:tc>
        <w:tc>
          <w:tcPr>
            <w:tcW w:w="159" w:type="dxa"/>
            <w:tcBorders/>
            <w:vAlign w:val="bottom"/>
          </w:tcPr>
          <w:p>
            <w:pPr>
              <w:pStyle w:val="TableContents"/>
              <w:bidi w:val="0"/>
              <w:spacing w:before="0" w:after="283"/>
              <w:jc w:val="left"/>
              <w:rPr/>
            </w:pPr>
            <w:r>
              <w:rPr/>
              <w:t> </w:t>
            </w:r>
          </w:p>
        </w:tc>
      </w:tr>
      <w:tr>
        <w:trPr/>
        <w:tc>
          <w:tcPr>
            <w:tcW w:w="609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Cash and cash equivalents at beginning of period</w:t>
            </w:r>
          </w:p>
        </w:tc>
        <w:tc>
          <w:tcPr>
            <w:tcW w:w="169"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567" w:type="dxa"/>
            <w:tcBorders/>
            <w:shd w:fill="CCEEFF" w:val="clear"/>
            <w:vAlign w:val="bottom"/>
          </w:tcPr>
          <w:p>
            <w:pPr>
              <w:pStyle w:val="TableContents"/>
              <w:bidi w:val="0"/>
              <w:spacing w:before="0" w:after="283"/>
              <w:jc w:val="right"/>
              <w:rPr>
                <w:b/>
              </w:rPr>
            </w:pPr>
            <w:r>
              <w:rPr>
                <w:b/>
              </w:rPr>
              <w:t>24,251</w:t>
            </w:r>
          </w:p>
        </w:tc>
        <w:tc>
          <w:tcPr>
            <w:tcW w:w="23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579" w:type="dxa"/>
            <w:tcBorders/>
            <w:shd w:fill="CCEEFF" w:val="clear"/>
            <w:vAlign w:val="bottom"/>
          </w:tcPr>
          <w:p>
            <w:pPr>
              <w:pStyle w:val="TableContents"/>
              <w:bidi w:val="0"/>
              <w:spacing w:before="0" w:after="283"/>
              <w:jc w:val="right"/>
              <w:rPr>
                <w:b/>
              </w:rPr>
            </w:pPr>
            <w:r>
              <w:rPr>
                <w:b/>
              </w:rPr>
              <w:t>6,749</w:t>
            </w:r>
          </w:p>
        </w:tc>
        <w:tc>
          <w:tcPr>
            <w:tcW w:w="159" w:type="dxa"/>
            <w:tcBorders/>
            <w:shd w:fill="CCEEFF" w:val="clear"/>
            <w:vAlign w:val="bottom"/>
          </w:tcPr>
          <w:p>
            <w:pPr>
              <w:pStyle w:val="TableContents"/>
              <w:bidi w:val="0"/>
              <w:spacing w:before="0" w:after="283"/>
              <w:jc w:val="left"/>
              <w:rPr/>
            </w:pPr>
            <w:r>
              <w:rPr/>
              <w:t> </w:t>
            </w:r>
          </w:p>
        </w:tc>
      </w:tr>
      <w:tr>
        <w:trPr/>
        <w:tc>
          <w:tcPr>
            <w:tcW w:w="6090"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pPr>
            <w:r>
              <w:rPr/>
              <w:t>  </w:t>
            </w:r>
          </w:p>
        </w:tc>
        <w:tc>
          <w:tcPr>
            <w:tcW w:w="137" w:type="dxa"/>
            <w:tcBorders/>
            <w:vAlign w:val="bottom"/>
          </w:tcPr>
          <w:p>
            <w:pPr>
              <w:pStyle w:val="TableContents"/>
              <w:pBdr>
                <w:top w:val="single" w:sz="2" w:space="1" w:color="000000"/>
              </w:pBdr>
              <w:bidi w:val="0"/>
              <w:spacing w:before="0" w:after="0"/>
              <w:jc w:val="left"/>
              <w:rPr/>
            </w:pPr>
            <w:r>
              <w:rPr/>
              <w:t> </w:t>
            </w:r>
          </w:p>
        </w:tc>
        <w:tc>
          <w:tcPr>
            <w:tcW w:w="1567" w:type="dxa"/>
            <w:tcBorders/>
            <w:vAlign w:val="bottom"/>
          </w:tcPr>
          <w:p>
            <w:pPr>
              <w:pStyle w:val="TableContents"/>
              <w:pBdr>
                <w:top w:val="single" w:sz="2" w:space="1" w:color="000000"/>
              </w:pBdr>
              <w:bidi w:val="0"/>
              <w:spacing w:before="0" w:after="0"/>
              <w:jc w:val="left"/>
              <w:rPr/>
            </w:pPr>
            <w:r>
              <w:rPr/>
              <w:t> </w:t>
            </w:r>
          </w:p>
        </w:tc>
        <w:tc>
          <w:tcPr>
            <w:tcW w:w="238"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24" w:type="dxa"/>
            <w:tcBorders/>
            <w:vAlign w:val="bottom"/>
          </w:tcPr>
          <w:p>
            <w:pPr>
              <w:pStyle w:val="TableContents"/>
              <w:pBdr>
                <w:top w:val="single" w:sz="2" w:space="1" w:color="000000"/>
              </w:pBdr>
              <w:bidi w:val="0"/>
              <w:spacing w:before="0" w:after="0"/>
              <w:jc w:val="left"/>
              <w:rPr/>
            </w:pPr>
            <w:r>
              <w:rPr/>
              <w:t> </w:t>
            </w:r>
          </w:p>
        </w:tc>
        <w:tc>
          <w:tcPr>
            <w:tcW w:w="157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090" w:type="dxa"/>
            <w:tcBorders/>
          </w:tcPr>
          <w:p>
            <w:pPr>
              <w:pStyle w:val="TableContents"/>
              <w:bidi w:val="0"/>
              <w:spacing w:before="0" w:after="0"/>
              <w:jc w:val="left"/>
              <w:rPr>
                <w:rFonts w:ascii="Times New Roman" w:hAnsi="Times New Roman"/>
                <w:sz w:val="20"/>
              </w:rPr>
            </w:pPr>
            <w:r>
              <w:rPr>
                <w:rFonts w:ascii="Times New Roman" w:hAnsi="Times New Roman"/>
                <w:sz w:val="20"/>
              </w:rPr>
              <w:t>Effect of exchange rate changes on cash and cash equivalents</w:t>
            </w:r>
          </w:p>
        </w:tc>
        <w:tc>
          <w:tcPr>
            <w:tcW w:w="169"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567" w:type="dxa"/>
            <w:tcBorders/>
            <w:vAlign w:val="bottom"/>
          </w:tcPr>
          <w:p>
            <w:pPr>
              <w:pStyle w:val="TableContents"/>
              <w:bidi w:val="0"/>
              <w:spacing w:before="0" w:after="283"/>
              <w:jc w:val="right"/>
              <w:rPr/>
            </w:pPr>
            <w:r>
              <w:rPr/>
              <w:t>278</w:t>
            </w:r>
          </w:p>
        </w:tc>
        <w:tc>
          <w:tcPr>
            <w:tcW w:w="23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579" w:type="dxa"/>
            <w:tcBorders/>
            <w:vAlign w:val="bottom"/>
          </w:tcPr>
          <w:p>
            <w:pPr>
              <w:pStyle w:val="TableContents"/>
              <w:bidi w:val="0"/>
              <w:spacing w:before="0" w:after="283"/>
              <w:jc w:val="right"/>
              <w:rPr/>
            </w:pPr>
            <w:r>
              <w:rPr/>
              <w:t>(433</w:t>
            </w:r>
          </w:p>
        </w:tc>
        <w:tc>
          <w:tcPr>
            <w:tcW w:w="159" w:type="dxa"/>
            <w:tcBorders/>
            <w:vAlign w:val="bottom"/>
          </w:tcPr>
          <w:p>
            <w:pPr>
              <w:pStyle w:val="TableContents"/>
              <w:bidi w:val="0"/>
              <w:spacing w:before="0" w:after="283"/>
              <w:jc w:val="left"/>
              <w:rPr/>
            </w:pPr>
            <w:r>
              <w:rPr/>
              <w:t>) </w:t>
            </w:r>
          </w:p>
        </w:tc>
      </w:tr>
      <w:tr>
        <w:trPr/>
        <w:tc>
          <w:tcPr>
            <w:tcW w:w="6090"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pPr>
            <w:r>
              <w:rPr/>
              <w:t>  </w:t>
            </w:r>
          </w:p>
        </w:tc>
        <w:tc>
          <w:tcPr>
            <w:tcW w:w="137" w:type="dxa"/>
            <w:tcBorders/>
            <w:vAlign w:val="bottom"/>
          </w:tcPr>
          <w:p>
            <w:pPr>
              <w:pStyle w:val="TableContents"/>
              <w:pBdr>
                <w:top w:val="single" w:sz="2" w:space="1" w:color="000000"/>
              </w:pBdr>
              <w:bidi w:val="0"/>
              <w:spacing w:before="0" w:after="0"/>
              <w:jc w:val="left"/>
              <w:rPr/>
            </w:pPr>
            <w:r>
              <w:rPr/>
              <w:t> </w:t>
            </w:r>
          </w:p>
        </w:tc>
        <w:tc>
          <w:tcPr>
            <w:tcW w:w="1567" w:type="dxa"/>
            <w:tcBorders/>
            <w:vAlign w:val="bottom"/>
          </w:tcPr>
          <w:p>
            <w:pPr>
              <w:pStyle w:val="TableContents"/>
              <w:pBdr>
                <w:top w:val="single" w:sz="2" w:space="1" w:color="000000"/>
              </w:pBdr>
              <w:bidi w:val="0"/>
              <w:spacing w:before="0" w:after="0"/>
              <w:jc w:val="left"/>
              <w:rPr/>
            </w:pPr>
            <w:r>
              <w:rPr/>
              <w:t> </w:t>
            </w:r>
          </w:p>
        </w:tc>
        <w:tc>
          <w:tcPr>
            <w:tcW w:w="238"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24" w:type="dxa"/>
            <w:tcBorders/>
            <w:vAlign w:val="bottom"/>
          </w:tcPr>
          <w:p>
            <w:pPr>
              <w:pStyle w:val="TableContents"/>
              <w:pBdr>
                <w:top w:val="single" w:sz="2" w:space="1" w:color="000000"/>
              </w:pBdr>
              <w:bidi w:val="0"/>
              <w:spacing w:before="0" w:after="0"/>
              <w:jc w:val="left"/>
              <w:rPr/>
            </w:pPr>
            <w:r>
              <w:rPr/>
              <w:t> </w:t>
            </w:r>
          </w:p>
        </w:tc>
        <w:tc>
          <w:tcPr>
            <w:tcW w:w="157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09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Cash and cash equivalents at end of period</w:t>
            </w:r>
          </w:p>
        </w:tc>
        <w:tc>
          <w:tcPr>
            <w:tcW w:w="169"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567" w:type="dxa"/>
            <w:tcBorders/>
            <w:shd w:fill="CCEEFF" w:val="clear"/>
            <w:vAlign w:val="bottom"/>
          </w:tcPr>
          <w:p>
            <w:pPr>
              <w:pStyle w:val="TableContents"/>
              <w:bidi w:val="0"/>
              <w:spacing w:before="0" w:after="283"/>
              <w:jc w:val="right"/>
              <w:rPr>
                <w:b/>
              </w:rPr>
            </w:pPr>
            <w:r>
              <w:rPr>
                <w:b/>
              </w:rPr>
              <w:t>19,503</w:t>
            </w:r>
          </w:p>
        </w:tc>
        <w:tc>
          <w:tcPr>
            <w:tcW w:w="23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579" w:type="dxa"/>
            <w:tcBorders/>
            <w:shd w:fill="CCEEFF" w:val="clear"/>
            <w:vAlign w:val="bottom"/>
          </w:tcPr>
          <w:p>
            <w:pPr>
              <w:pStyle w:val="TableContents"/>
              <w:bidi w:val="0"/>
              <w:spacing w:before="0" w:after="283"/>
              <w:jc w:val="right"/>
              <w:rPr>
                <w:b/>
              </w:rPr>
            </w:pPr>
            <w:r>
              <w:rPr>
                <w:b/>
              </w:rPr>
              <w:t>8,443</w:t>
            </w:r>
          </w:p>
        </w:tc>
        <w:tc>
          <w:tcPr>
            <w:tcW w:w="159" w:type="dxa"/>
            <w:tcBorders/>
            <w:shd w:fill="CCEEFF" w:val="clear"/>
            <w:vAlign w:val="bottom"/>
          </w:tcPr>
          <w:p>
            <w:pPr>
              <w:pStyle w:val="TableContents"/>
              <w:bidi w:val="0"/>
              <w:spacing w:before="0" w:after="283"/>
              <w:jc w:val="left"/>
              <w:rPr/>
            </w:pPr>
            <w:r>
              <w:rPr/>
              <w:t> </w:t>
            </w:r>
          </w:p>
        </w:tc>
      </w:tr>
      <w:tr>
        <w:trPr/>
        <w:tc>
          <w:tcPr>
            <w:tcW w:w="6090"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pPr>
            <w:r>
              <w:rPr/>
              <w:t>  </w:t>
            </w:r>
          </w:p>
        </w:tc>
        <w:tc>
          <w:tcPr>
            <w:tcW w:w="137" w:type="dxa"/>
            <w:tcBorders/>
            <w:vAlign w:val="bottom"/>
          </w:tcPr>
          <w:p>
            <w:pPr>
              <w:pStyle w:val="TableContents"/>
              <w:pBdr>
                <w:top w:val="double" w:sz="6" w:space="1" w:color="000000"/>
              </w:pBdr>
              <w:bidi w:val="0"/>
              <w:spacing w:before="0" w:after="0"/>
              <w:jc w:val="left"/>
              <w:rPr/>
            </w:pPr>
            <w:r>
              <w:rPr/>
              <w:t> </w:t>
            </w:r>
          </w:p>
        </w:tc>
        <w:tc>
          <w:tcPr>
            <w:tcW w:w="1567" w:type="dxa"/>
            <w:tcBorders/>
            <w:vAlign w:val="bottom"/>
          </w:tcPr>
          <w:p>
            <w:pPr>
              <w:pStyle w:val="TableContents"/>
              <w:pBdr>
                <w:top w:val="double" w:sz="6" w:space="1" w:color="000000"/>
              </w:pBdr>
              <w:bidi w:val="0"/>
              <w:spacing w:before="0" w:after="0"/>
              <w:jc w:val="left"/>
              <w:rPr/>
            </w:pPr>
            <w:r>
              <w:rPr/>
              <w:t> </w:t>
            </w:r>
          </w:p>
        </w:tc>
        <w:tc>
          <w:tcPr>
            <w:tcW w:w="238"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24" w:type="dxa"/>
            <w:tcBorders/>
            <w:vAlign w:val="bottom"/>
          </w:tcPr>
          <w:p>
            <w:pPr>
              <w:pStyle w:val="TableContents"/>
              <w:pBdr>
                <w:top w:val="double" w:sz="6" w:space="1" w:color="000000"/>
              </w:pBdr>
              <w:bidi w:val="0"/>
              <w:spacing w:before="0" w:after="0"/>
              <w:jc w:val="left"/>
              <w:rPr/>
            </w:pPr>
            <w:r>
              <w:rPr/>
              <w:t> </w:t>
            </w:r>
          </w:p>
        </w:tc>
        <w:tc>
          <w:tcPr>
            <w:tcW w:w="157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For more information, please contact: </w:t>
      </w:r>
    </w:p>
    <w:p>
      <w:pPr>
        <w:pStyle w:val="TextBody"/>
        <w:bidi w:val="0"/>
        <w:spacing w:before="240" w:after="0"/>
        <w:jc w:val="left"/>
        <w:rPr>
          <w:rFonts w:ascii="Times New Roman" w:hAnsi="Times New Roman"/>
          <w:sz w:val="20"/>
        </w:rPr>
      </w:pPr>
      <w:r>
        <w:rPr>
          <w:rFonts w:ascii="Times New Roman" w:hAnsi="Times New Roman"/>
          <w:sz w:val="20"/>
        </w:rPr>
        <w:t xml:space="preserve">NuCana plc </w:t>
      </w:r>
    </w:p>
    <w:p>
      <w:pPr>
        <w:pStyle w:val="TextBody"/>
        <w:bidi w:val="0"/>
        <w:spacing w:before="0" w:after="0"/>
        <w:jc w:val="left"/>
        <w:rPr>
          <w:rFonts w:ascii="Times New Roman" w:hAnsi="Times New Roman"/>
          <w:sz w:val="20"/>
        </w:rPr>
      </w:pPr>
      <w:r>
        <w:rPr>
          <w:rFonts w:ascii="Times New Roman" w:hAnsi="Times New Roman"/>
          <w:sz w:val="20"/>
        </w:rPr>
        <w:t xml:space="preserve">Hugh S. Griffith </w:t>
      </w:r>
    </w:p>
    <w:p>
      <w:pPr>
        <w:pStyle w:val="TextBody"/>
        <w:bidi w:val="0"/>
        <w:spacing w:before="0" w:after="0"/>
        <w:jc w:val="left"/>
        <w:rPr>
          <w:rFonts w:ascii="Times New Roman" w:hAnsi="Times New Roman"/>
          <w:sz w:val="20"/>
        </w:rPr>
      </w:pPr>
      <w:r>
        <w:rPr>
          <w:rFonts w:ascii="Times New Roman" w:hAnsi="Times New Roman"/>
          <w:sz w:val="20"/>
        </w:rPr>
        <w:t xml:space="preserve">Chief Executive Officer </w:t>
      </w:r>
    </w:p>
    <w:p>
      <w:pPr>
        <w:pStyle w:val="TextBody"/>
        <w:bidi w:val="0"/>
        <w:spacing w:before="0" w:after="0"/>
        <w:jc w:val="left"/>
        <w:rPr>
          <w:rFonts w:ascii="Times New Roman" w:hAnsi="Times New Roman"/>
          <w:sz w:val="20"/>
        </w:rPr>
      </w:pPr>
      <w:r>
        <w:rPr>
          <w:rFonts w:ascii="Times New Roman" w:hAnsi="Times New Roman"/>
          <w:sz w:val="20"/>
        </w:rPr>
        <w:t xml:space="preserve">+44 131-357-1111 </w:t>
      </w:r>
    </w:p>
    <w:p>
      <w:pPr>
        <w:pStyle w:val="TextBody"/>
        <w:bidi w:val="0"/>
        <w:spacing w:before="0" w:after="0"/>
        <w:jc w:val="left"/>
        <w:rPr>
          <w:rFonts w:ascii="Times New Roman" w:hAnsi="Times New Roman"/>
          <w:sz w:val="20"/>
        </w:rPr>
      </w:pPr>
      <w:r>
        <w:rPr>
          <w:rFonts w:ascii="Times New Roman" w:hAnsi="Times New Roman"/>
          <w:sz w:val="20"/>
          <w:u w:val="single"/>
        </w:rPr>
        <w:t>info@nucana.com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ICR Healthcare </w:t>
      </w:r>
    </w:p>
    <w:p>
      <w:pPr>
        <w:pStyle w:val="TextBody"/>
        <w:bidi w:val="0"/>
        <w:spacing w:before="0" w:after="0"/>
        <w:jc w:val="left"/>
        <w:rPr>
          <w:rFonts w:ascii="Times New Roman" w:hAnsi="Times New Roman"/>
          <w:sz w:val="20"/>
        </w:rPr>
      </w:pPr>
      <w:r>
        <w:rPr>
          <w:rFonts w:ascii="Times New Roman" w:hAnsi="Times New Roman"/>
          <w:sz w:val="20"/>
        </w:rPr>
        <w:t xml:space="preserve">Chris Brinzey </w:t>
      </w:r>
    </w:p>
    <w:p>
      <w:pPr>
        <w:pStyle w:val="TextBody"/>
        <w:bidi w:val="0"/>
        <w:spacing w:before="0" w:after="0"/>
        <w:jc w:val="left"/>
        <w:rPr>
          <w:rFonts w:ascii="Times New Roman" w:hAnsi="Times New Roman"/>
          <w:sz w:val="20"/>
        </w:rPr>
      </w:pPr>
      <w:r>
        <w:rPr>
          <w:rFonts w:ascii="Times New Roman" w:hAnsi="Times New Roman"/>
          <w:sz w:val="20"/>
        </w:rPr>
        <w:t xml:space="preserve">+1 339-970-2843 </w:t>
      </w:r>
    </w:p>
    <w:p>
      <w:pPr>
        <w:pStyle w:val="TextBody"/>
        <w:bidi w:val="0"/>
        <w:spacing w:before="0" w:after="0"/>
        <w:jc w:val="left"/>
        <w:rPr>
          <w:rFonts w:ascii="Times New Roman" w:hAnsi="Times New Roman"/>
          <w:sz w:val="20"/>
        </w:rPr>
      </w:pPr>
      <w:r>
        <w:rPr>
          <w:rFonts w:ascii="Times New Roman" w:hAnsi="Times New Roman"/>
          <w:sz w:val="20"/>
          <w:u w:val="single"/>
        </w:rPr>
        <w:t>Chris.Brinzey@ICRHealthcare.com</w:t>
      </w:r>
      <w:r>
        <w:rPr>
          <w:rFonts w:ascii="Times New Roman" w:hAnsi="Times New Roman"/>
          <w:sz w:val="20"/>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9533</Words>
  <Characters>51086</Characters>
  <CharactersWithSpaces>64603</CharactersWithSpaces>
  <Paragraphs>5802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EX-99.3</dc:title>
</cp:coreProperties>
</file>