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Harrison David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NUCANA PLC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LOCHSIDE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EDINBURGH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EH12 9DT</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NuCana plc</w:t>
              </w:r>
            </w:hyperlink>
            <w:r>
              <w:rPr/>
              <w:t xml:space="preserve"> [ </w:t>
            </w:r>
            <w:r>
              <w:rPr>
                <w:rFonts w:ascii="Times;serif" w:hAnsi="Times;serif"/>
                <w:color w:val="0000FF"/>
                <w:sz w:val="24"/>
                <w:shd w:fill="FFFFFF" w:val="clear"/>
              </w:rPr>
              <w:t>NCNA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Head of Translational Medicine</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51"/>
        <w:gridCol w:w="1222"/>
        <w:gridCol w:w="1123"/>
        <w:gridCol w:w="1252"/>
        <w:gridCol w:w="1253"/>
        <w:gridCol w:w="1254"/>
        <w:gridCol w:w="1212"/>
        <w:gridCol w:w="133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0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62,499,995</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1,971,417</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77,520,679</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64,471,412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77,520,679</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nominal value 0.0004 Pounds Sterling per share (the "Ordinary Shares"), of NuCana plc (the "Company") underlying this option have an exercise price of 0.004 Pounds Sterling, completed vesting on June 20, 2025 and expire June 20,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underlying this option have an exercise price of 0.0004 Pounds Sterling, completed vesting on June 20, 2025 and expire June 20,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underlying this option have an exercise price of 0.0004 Pounds Sterling, completed vesting on January 14, 2026 and expire January 14, 2036.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underlying this option have an exercise price of 0.0004 Pounds Sterling and will vest as to 25% on June 20, 2026, with the remainder vesting in three equal annual installments thereafter, subject to the Reporting Person's continued service with the Company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Ordinary Shares underlying this option have an exercise price of 0.0004 Pounds Sterling and will vest as to 25% on January 14, 2027, with the remainder vesting in three equal annual installments thereafter, subject to the Reporting Person's continued service with the Company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is being filed late due to unanticipated delays in receiving the Reporting Person's EDGAR codes, which delays the Reporting Person understands were due to the high volume of applications at the time.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Ian Webster, Attorney-in-Fact for David Harrison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09626-ex24_1.htm"/>
      <w:bookmarkStart w:id="3" w:name="ksck0001709626ex24_1"/>
      <w:bookmarkEnd w:id="2"/>
      <w:bookmarkEnd w:id="3"/>
      <w:r>
        <w:rPr/>
        <w:t> </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Hugh Griffith and Ian Webster, the Chief Executive Officer and Interim Chief Financial Officer, respectively, of NuCana plc (the “Company”), and John T. Rudy, Allyson Wilkinson, Gianna M. Nappi, Michelle St Francis, Robyn M. Frattali and Autumn N. Mays of Mintz, Levin, Cohn, Ferris, Glovsky and Popeo, P.C., signing singly, with full power of substitution, the undersigned’s true and lawful attorney-in-fact 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of the Company, forms and authentication documents for EDGAR Filing Access;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of the Company, Forms 3, 4 and 5 in accordance with Section 16(a) of the Securities Exchange Act of 1934, as amended,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spacing w:before="0" w:after="240"/>
        <w:jc w:val="both"/>
        <w:rPr/>
      </w:pPr>
      <w:r>
        <w:rPr/>
        <w:t> </w:t>
      </w:r>
    </w:p>
    <w:tbl>
      <w:tblPr>
        <w:tblW w:w="4338" w:type="dxa"/>
        <w:jc w:val="left"/>
        <w:tblInd w:w="0" w:type="dxa"/>
        <w:tblLayout w:type="fixed"/>
        <w:tblCellMar>
          <w:top w:w="28" w:type="dxa"/>
          <w:left w:w="28" w:type="dxa"/>
          <w:bottom w:w="28" w:type="dxa"/>
          <w:right w:w="28" w:type="dxa"/>
        </w:tblCellMar>
      </w:tblPr>
      <w:tblGrid>
        <w:gridCol w:w="1636"/>
        <w:gridCol w:w="436"/>
        <w:gridCol w:w="2266"/>
      </w:tblGrid>
      <w:tr>
        <w:trPr/>
        <w:tc>
          <w:tcPr>
            <w:tcW w:w="16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3/24/2026</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David Harrison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David Harrison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3693" TargetMode="External"/><Relationship Id="rId3" Type="http://schemas.openxmlformats.org/officeDocument/2006/relationships/hyperlink" Target="http://www.sec.gov/cgi-bin/browse-edgar?action=getcompany&amp;CIK=00017096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1206</Words>
  <Characters>6379</Characters>
  <CharactersWithSpaces>7509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