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33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33390"/>
                    </a:xfrm>
                    <a:prstGeom prst="rect">
                      <a:avLst/>
                    </a:prstGeom>
                    <a:noFill/>
                  </pic:spPr>
                </pic:pic>
              </a:graphicData>
            </a:graphic>
          </wp:anchor>
        </w:drawing>
      </w:r>
    </w:p>
    <w:p>
      <w:pPr>
        <w:sectPr>
          <w:pgSz w:w="11900" w:h="16838" w:orient="portrait"/>
          <w:cols w:equalWidth="0" w:num="1">
            <w:col w:w="10940"/>
          </w:cols>
          <w:pgMar w:left="480" w:top="230" w:right="479" w:bottom="2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Mellish Martin C.B.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NuCana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NCNA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2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NUCANA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 LOCHSIDE WAY</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240" w:val="left"/>
        </w:tabs>
        <w:rPr>
          <w:sz w:val="20"/>
          <w:szCs w:val="20"/>
          <w:color w:val="auto"/>
        </w:rPr>
      </w:pPr>
      <w:r>
        <w:rPr>
          <w:rFonts w:ascii="Times New Roman" w:cs="Times New Roman" w:eastAsia="Times New Roman" w:hAnsi="Times New Roman"/>
          <w:sz w:val="18"/>
          <w:szCs w:val="18"/>
          <w:color w:val="0000FF"/>
        </w:rPr>
        <w:t>EDINBURGH</w:t>
      </w:r>
      <w:r>
        <w:rPr>
          <w:sz w:val="20"/>
          <w:szCs w:val="20"/>
          <w:color w:val="auto"/>
        </w:rPr>
        <w:tab/>
      </w:r>
      <w:r>
        <w:rPr>
          <w:rFonts w:ascii="Times New Roman" w:cs="Times New Roman" w:eastAsia="Times New Roman" w:hAnsi="Times New Roman"/>
          <w:sz w:val="18"/>
          <w:szCs w:val="18"/>
          <w:color w:val="0000FF"/>
        </w:rPr>
        <w:t>EH12 9DT</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540" w:type="dxa"/>
            <w:vAlign w:val="bottom"/>
          </w:tcPr>
          <w:p>
            <w:pPr>
              <w:jc w:val="right"/>
              <w:ind w:right="1279"/>
              <w:spacing w:after="0"/>
              <w:rPr>
                <w:sz w:val="20"/>
                <w:szCs w:val="20"/>
                <w:color w:val="auto"/>
              </w:rPr>
            </w:pPr>
            <w:r>
              <w:rPr>
                <w:rFonts w:ascii="Times New Roman" w:cs="Times New Roman" w:eastAsia="Times New Roman" w:hAnsi="Times New Roman"/>
                <w:sz w:val="20"/>
                <w:szCs w:val="20"/>
                <w:color w:val="0000FF"/>
              </w:rPr>
              <w:t>28</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D</w:t>
            </w: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8560" w:type="dxa"/>
            <w:vAlign w:val="bottom"/>
            <w:tcBorders>
              <w:bottom w:val="single" w:sz="8" w:color="2C2C2C"/>
            </w:tcBorders>
            <w:gridSpan w:val="4"/>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8560" w:type="dxa"/>
            <w:vAlign w:val="bottom"/>
            <w:tcBorders>
              <w:top w:val="single" w:sz="8" w:color="2C2C2C"/>
            </w:tcBorders>
            <w:gridSpan w:val="4"/>
          </w:tcPr>
          <w:p>
            <w:pPr>
              <w:ind w:left="3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r>
      <w:tr>
        <w:trPr>
          <w:trHeight w:val="269"/>
        </w:trPr>
        <w:tc>
          <w:tcPr>
            <w:tcW w:w="20" w:type="dxa"/>
            <w:vAlign w:val="bottom"/>
          </w:tcPr>
          <w:p>
            <w:pPr>
              <w:spacing w:after="0"/>
              <w:rPr>
                <w:sz w:val="23"/>
                <w:szCs w:val="23"/>
                <w:color w:val="auto"/>
              </w:rPr>
            </w:pPr>
          </w:p>
        </w:tc>
        <w:tc>
          <w:tcPr>
            <w:tcW w:w="8560" w:type="dxa"/>
            <w:vAlign w:val="bottom"/>
            <w:gridSpan w:val="4"/>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20" w:type="dxa"/>
            <w:vAlign w:val="bottom"/>
          </w:tcPr>
          <w:p>
            <w:pPr>
              <w:spacing w:after="0"/>
              <w:rPr>
                <w:sz w:val="3"/>
                <w:szCs w:val="3"/>
                <w:color w:val="auto"/>
              </w:rPr>
            </w:pPr>
          </w:p>
        </w:tc>
        <w:tc>
          <w:tcPr>
            <w:tcW w:w="476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540" w:type="dxa"/>
            <w:vAlign w:val="bottom"/>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30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r>
      <w:tr>
        <w:trPr>
          <w:trHeight w:val="165"/>
        </w:trPr>
        <w:tc>
          <w:tcPr>
            <w:tcW w:w="20" w:type="dxa"/>
            <w:vAlign w:val="bottom"/>
          </w:tcPr>
          <w:p>
            <w:pPr>
              <w:spacing w:after="0"/>
              <w:rPr>
                <w:sz w:val="14"/>
                <w:szCs w:val="14"/>
                <w:color w:val="auto"/>
              </w:rPr>
            </w:pPr>
          </w:p>
        </w:tc>
        <w:tc>
          <w:tcPr>
            <w:tcW w:w="4760" w:type="dxa"/>
            <w:vAlign w:val="bottom"/>
          </w:tcPr>
          <w:p>
            <w:pPr>
              <w:ind w:left="29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w:t>
            </w:r>
          </w:p>
        </w:tc>
      </w:tr>
      <w:tr>
        <w:trPr>
          <w:trHeight w:val="179"/>
        </w:trPr>
        <w:tc>
          <w:tcPr>
            <w:tcW w:w="20" w:type="dxa"/>
            <w:vAlign w:val="bottom"/>
          </w:tcPr>
          <w:p>
            <w:pPr>
              <w:spacing w:after="0"/>
              <w:rPr>
                <w:sz w:val="15"/>
                <w:szCs w:val="15"/>
                <w:color w:val="auto"/>
              </w:rPr>
            </w:pPr>
          </w:p>
        </w:tc>
        <w:tc>
          <w:tcPr>
            <w:tcW w:w="4760" w:type="dxa"/>
            <w:vAlign w:val="bottom"/>
          </w:tcPr>
          <w:p>
            <w:pPr>
              <w:ind w:left="2980"/>
              <w:spacing w:after="0"/>
              <w:rPr>
                <w:sz w:val="20"/>
                <w:szCs w:val="20"/>
                <w:color w:val="auto"/>
              </w:rPr>
            </w:pPr>
            <w:r>
              <w:rPr>
                <w:rFonts w:ascii="Arial" w:cs="Arial" w:eastAsia="Arial" w:hAnsi="Arial"/>
                <w:sz w:val="15"/>
                <w:szCs w:val="15"/>
                <w:b w:val="1"/>
                <w:bCs w:val="1"/>
                <w:color w:val="auto"/>
              </w:rPr>
              <w:t>(Month/Day/Year)</w:t>
            </w:r>
          </w:p>
        </w:tc>
        <w:tc>
          <w:tcPr>
            <w:tcW w:w="2540" w:type="dxa"/>
            <w:vAlign w:val="bottom"/>
          </w:tcPr>
          <w:p>
            <w:pPr>
              <w:ind w:left="10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Beneficial</w:t>
            </w:r>
          </w:p>
        </w:tc>
      </w:tr>
    </w:tbl>
    <w:p>
      <w:pPr>
        <w:spacing w:after="0" w:line="1" w:lineRule="exact"/>
        <w:rPr>
          <w:sz w:val="24"/>
          <w:szCs w:val="24"/>
          <w:color w:val="auto"/>
        </w:rPr>
      </w:pPr>
    </w:p>
    <w:p>
      <w:pPr>
        <w:sectPr>
          <w:pgSz w:w="11900" w:h="16838" w:orient="portrait"/>
          <w:cols w:equalWidth="0" w:num="1">
            <w:col w:w="10940"/>
          </w:cols>
          <w:pgMar w:left="480" w:top="230" w:right="479" w:bottom="25" w:gutter="0" w:footer="0" w:header="0"/>
          <w:type w:val="continuous"/>
        </w:sectPr>
      </w:pPr>
    </w:p>
    <w:p>
      <w:pPr>
        <w:spacing w:after="0" w:line="135" w:lineRule="exact"/>
        <w:rPr>
          <w:sz w:val="24"/>
          <w:szCs w:val="24"/>
          <w:color w:val="auto"/>
        </w:rPr>
      </w:pPr>
    </w:p>
    <w:p>
      <w:pPr>
        <w:ind w:left="6640"/>
        <w:spacing w:after="0"/>
        <w:rPr>
          <w:sz w:val="20"/>
          <w:szCs w:val="20"/>
          <w:color w:val="auto"/>
        </w:rPr>
      </w:pPr>
      <w:r>
        <w:rPr>
          <w:rFonts w:ascii="Arial" w:cs="Arial" w:eastAsia="Arial" w:hAnsi="Arial"/>
          <w:sz w:val="15"/>
          <w:szCs w:val="15"/>
          <w:b w:val="1"/>
          <w:bCs w:val="1"/>
          <w:color w:val="auto"/>
        </w:rPr>
        <w:t>Amount or</w:t>
      </w:r>
    </w:p>
    <w:p>
      <w:pPr>
        <w:ind w:left="3000"/>
        <w:spacing w:after="0"/>
        <w:tabs>
          <w:tab w:leader="none" w:pos="3980" w:val="left"/>
          <w:tab w:leader="none" w:pos="662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Number of</w:t>
      </w:r>
    </w:p>
    <w:p>
      <w:pPr>
        <w:ind w:left="3000"/>
        <w:spacing w:after="0"/>
        <w:tabs>
          <w:tab w:leader="none" w:pos="3980" w:val="left"/>
          <w:tab w:leader="none" w:pos="4860" w:val="left"/>
          <w:tab w:leader="none" w:pos="662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1320" w:type="dxa"/>
            <w:vAlign w:val="bottom"/>
          </w:tcPr>
          <w:p>
            <w:pPr>
              <w:ind w:left="80"/>
              <w:spacing w:after="0" w:line="151" w:lineRule="exact"/>
              <w:rPr>
                <w:sz w:val="20"/>
                <w:szCs w:val="20"/>
                <w:color w:val="auto"/>
              </w:rPr>
            </w:pPr>
            <w:r>
              <w:rPr>
                <w:rFonts w:ascii="Arial" w:cs="Arial" w:eastAsia="Arial" w:hAnsi="Arial"/>
                <w:sz w:val="15"/>
                <w:szCs w:val="15"/>
                <w:b w:val="1"/>
                <w:bCs w:val="1"/>
                <w:color w:val="auto"/>
                <w:w w:val="98"/>
              </w:rPr>
              <w:t>Ownership (Instr.</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13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5)</w:t>
            </w:r>
          </w:p>
        </w:tc>
      </w:tr>
      <w:tr>
        <w:trPr>
          <w:trHeight w:val="206"/>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1320" w:type="dxa"/>
            <w:vAlign w:val="bottom"/>
          </w:tcPr>
          <w:p>
            <w:pPr>
              <w:spacing w:after="0"/>
              <w:rPr>
                <w:sz w:val="17"/>
                <w:szCs w:val="17"/>
                <w:color w:val="auto"/>
              </w:rPr>
            </w:pPr>
          </w:p>
        </w:tc>
      </w:tr>
    </w:tbl>
    <w:p>
      <w:pPr>
        <w:spacing w:after="0" w:line="135" w:lineRule="exact"/>
        <w:rPr>
          <w:sz w:val="24"/>
          <w:szCs w:val="24"/>
          <w:color w:val="auto"/>
        </w:rPr>
      </w:pPr>
    </w:p>
    <w:p>
      <w:pPr>
        <w:sectPr>
          <w:pgSz w:w="11900" w:h="16838" w:orient="portrait"/>
          <w:cols w:equalWidth="0" w:num="2">
            <w:col w:w="7400" w:space="260"/>
            <w:col w:w="3280"/>
          </w:cols>
          <w:pgMar w:left="480" w:top="230" w:right="479" w:bottom="25" w:gutter="0" w:footer="0" w:header="0"/>
          <w:type w:val="continuous"/>
        </w:sectPr>
      </w:pPr>
    </w:p>
    <w:p>
      <w:pPr>
        <w:spacing w:after="0"/>
        <w:rPr>
          <w:sz w:val="20"/>
          <w:szCs w:val="20"/>
          <w:color w:val="auto"/>
        </w:rPr>
      </w:pPr>
      <w:r>
        <w:rPr>
          <w:sz w:val="1"/>
          <w:szCs w:val="1"/>
          <w:color w:val="auto"/>
        </w:rPr>
        <w:drawing>
          <wp:inline distT="0" distB="0" distL="0" distR="0">
            <wp:extent cx="34925" cy="24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925" cy="247650"/>
                    </a:xfrm>
                    <a:prstGeom prst="rect">
                      <a:avLst/>
                    </a:prstGeom>
                    <a:noFill/>
                    <a:ln>
                      <a:noFill/>
                    </a:ln>
                  </pic:spPr>
                </pic:pic>
              </a:graphicData>
            </a:graphic>
          </wp:inline>
        </w:drawing>
      </w:r>
      <w:r>
        <w:rPr>
          <w:rFonts w:ascii="Times New Roman" w:cs="Times New Roman" w:eastAsia="Times New Roman" w:hAnsi="Times New Roman"/>
          <w:sz w:val="20"/>
          <w:szCs w:val="20"/>
          <w:color w:val="0000FF"/>
        </w:rPr>
        <w:t xml:space="preserve"> American Depositary Shares      </w:t>
      </w:r>
      <w:r>
        <w:rPr>
          <w:sz w:val="1"/>
          <w:szCs w:val="1"/>
          <w:color w:val="auto"/>
        </w:rPr>
        <w:drawing>
          <wp:inline distT="0" distB="0" distL="0" distR="0">
            <wp:extent cx="44450" cy="247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4450" cy="247650"/>
                    </a:xfrm>
                    <a:prstGeom prst="rect">
                      <a:avLst/>
                    </a:prstGeom>
                    <a:noFill/>
                    <a:ln>
                      <a:noFill/>
                    </a:ln>
                  </pic:spPr>
                </pic:pic>
              </a:graphicData>
            </a:graphic>
          </wp:inline>
        </w:drawing>
      </w:r>
      <w:r>
        <w:rPr>
          <w:rFonts w:ascii="Times New Roman" w:cs="Times New Roman" w:eastAsia="Times New Roman" w:hAnsi="Times New Roman"/>
          <w:sz w:val="13"/>
          <w:szCs w:val="13"/>
          <w:color w:val="008000"/>
        </w:rPr>
        <w:t xml:space="preserve">       (1)       </w:t>
      </w:r>
      <w:r>
        <w:rPr>
          <w:sz w:val="1"/>
          <w:szCs w:val="1"/>
          <w:color w:val="auto"/>
        </w:rPr>
        <w:drawing>
          <wp:inline distT="0" distB="0" distL="0" distR="0">
            <wp:extent cx="44450" cy="247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4450" cy="247650"/>
                    </a:xfrm>
                    <a:prstGeom prst="rect">
                      <a:avLst/>
                    </a:prstGeom>
                    <a:noFill/>
                    <a:ln>
                      <a:noFill/>
                    </a:ln>
                  </pic:spPr>
                </pic:pic>
              </a:graphicData>
            </a:graphic>
          </wp:inline>
        </w:drawing>
      </w:r>
      <w:r>
        <w:rPr>
          <w:rFonts w:ascii="Times New Roman" w:cs="Times New Roman" w:eastAsia="Times New Roman" w:hAnsi="Times New Roman"/>
          <w:sz w:val="13"/>
          <w:szCs w:val="13"/>
          <w:color w:val="008000"/>
        </w:rPr>
        <w:t xml:space="preserve">      (1)      </w:t>
      </w:r>
      <w:r>
        <w:rPr>
          <w:sz w:val="1"/>
          <w:szCs w:val="1"/>
          <w:color w:val="auto"/>
        </w:rPr>
        <w:drawing>
          <wp:inline distT="0" distB="0" distL="0" distR="0">
            <wp:extent cx="44450" cy="2476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4450" cy="247650"/>
                    </a:xfrm>
                    <a:prstGeom prst="rect">
                      <a:avLst/>
                    </a:prstGeom>
                    <a:noFill/>
                    <a:ln>
                      <a:noFill/>
                    </a:ln>
                  </pic:spPr>
                </pic:pic>
              </a:graphicData>
            </a:graphic>
          </wp:inline>
        </w:drawing>
      </w:r>
      <w:r>
        <w:rPr>
          <w:rFonts w:ascii="Times New Roman" w:cs="Times New Roman" w:eastAsia="Times New Roman" w:hAnsi="Times New Roman"/>
          <w:sz w:val="20"/>
          <w:szCs w:val="20"/>
          <w:color w:val="0000FF"/>
        </w:rPr>
        <w:t xml:space="preserve">   Ordinary Shares   </w:t>
      </w:r>
      <w:r>
        <w:rPr>
          <w:sz w:val="1"/>
          <w:szCs w:val="1"/>
          <w:color w:val="auto"/>
        </w:rPr>
        <w:drawing>
          <wp:inline distT="0" distB="0" distL="0" distR="0">
            <wp:extent cx="44450" cy="247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450" cy="247650"/>
                    </a:xfrm>
                    <a:prstGeom prst="rect">
                      <a:avLst/>
                    </a:prstGeom>
                    <a:noFill/>
                    <a:ln>
                      <a:noFill/>
                    </a:ln>
                  </pic:spPr>
                </pic:pic>
              </a:graphicData>
            </a:graphic>
          </wp:inline>
        </w:drawing>
      </w:r>
      <w:r>
        <w:rPr>
          <w:rFonts w:ascii="Times New Roman" w:cs="Times New Roman" w:eastAsia="Times New Roman" w:hAnsi="Times New Roman"/>
          <w:sz w:val="20"/>
          <w:szCs w:val="20"/>
          <w:color w:val="0000FF"/>
        </w:rPr>
        <w:t xml:space="preserve">     7     </w:t>
      </w:r>
      <w:r>
        <w:rPr>
          <w:sz w:val="1"/>
          <w:szCs w:val="1"/>
          <w:color w:val="auto"/>
        </w:rPr>
        <w:drawing>
          <wp:inline distT="0" distB="0" distL="0" distR="0">
            <wp:extent cx="44450" cy="247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450" cy="247650"/>
                    </a:xfrm>
                    <a:prstGeom prst="rect">
                      <a:avLst/>
                    </a:prstGeom>
                    <a:noFill/>
                    <a:ln>
                      <a:noFill/>
                    </a:ln>
                  </pic:spPr>
                </pic:pic>
              </a:graphicData>
            </a:graphic>
          </wp:inline>
        </w:drawing>
      </w:r>
      <w:r>
        <w:rPr>
          <w:rFonts w:ascii="Times New Roman" w:cs="Times New Roman" w:eastAsia="Times New Roman" w:hAnsi="Times New Roman"/>
          <w:sz w:val="13"/>
          <w:szCs w:val="13"/>
          <w:color w:val="008000"/>
        </w:rPr>
        <w:t xml:space="preserve">       (1)       </w:t>
      </w:r>
      <w:r>
        <w:rPr>
          <w:sz w:val="1"/>
          <w:szCs w:val="1"/>
          <w:color w:val="auto"/>
        </w:rPr>
        <w:drawing>
          <wp:inline distT="0" distB="0" distL="0" distR="0">
            <wp:extent cx="44450" cy="247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450" cy="247650"/>
                    </a:xfrm>
                    <a:prstGeom prst="rect">
                      <a:avLst/>
                    </a:prstGeom>
                    <a:noFill/>
                    <a:ln>
                      <a:noFill/>
                    </a:ln>
                  </pic:spPr>
                </pic:pic>
              </a:graphicData>
            </a:graphic>
          </wp:inline>
        </w:drawing>
      </w:r>
      <w:r>
        <w:rPr>
          <w:rFonts w:ascii="Times New Roman" w:cs="Times New Roman" w:eastAsia="Times New Roman" w:hAnsi="Times New Roman"/>
          <w:sz w:val="20"/>
          <w:szCs w:val="20"/>
          <w:color w:val="0000FF"/>
        </w:rPr>
        <w:t xml:space="preserve">    D</w:t>
      </w:r>
    </w:p>
    <w:p>
      <w:pPr>
        <w:sectPr>
          <w:pgSz w:w="11900" w:h="16838" w:orient="portrait"/>
          <w:cols w:equalWidth="0" w:num="1">
            <w:col w:w="10940"/>
          </w:cols>
          <w:pgMar w:left="480" w:top="230" w:right="479" w:bottom="25" w:gutter="0" w:footer="0" w:header="0"/>
          <w:type w:val="continuous"/>
        </w:sectPr>
      </w:pPr>
    </w:p>
    <w:p>
      <w:pPr>
        <w:jc w:val="right"/>
        <w:ind w:right="1920"/>
        <w:spacing w:after="0"/>
        <w:rPr>
          <w:sz w:val="20"/>
          <w:szCs w:val="20"/>
          <w:color w:val="auto"/>
        </w:rPr>
      </w:pPr>
      <w:r>
        <w:rPr>
          <w:sz w:val="1"/>
          <w:szCs w:val="1"/>
          <w:color w:val="auto"/>
        </w:rPr>
        <w:drawing>
          <wp:inline distT="0" distB="0" distL="0" distR="0">
            <wp:extent cx="34925" cy="247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925" cy="247650"/>
                    </a:xfrm>
                    <a:prstGeom prst="rect">
                      <a:avLst/>
                    </a:prstGeom>
                    <a:noFill/>
                    <a:ln>
                      <a:noFill/>
                    </a:ln>
                  </pic:spPr>
                </pic:pic>
              </a:graphicData>
            </a:graphic>
          </wp:inline>
        </w:drawing>
      </w:r>
      <w:r>
        <w:rPr>
          <w:rFonts w:ascii="Times New Roman" w:cs="Times New Roman" w:eastAsia="Times New Roman" w:hAnsi="Times New Roman"/>
          <w:sz w:val="17"/>
          <w:szCs w:val="17"/>
          <w:color w:val="0000FF"/>
        </w:rPr>
        <w:t xml:space="preserve"> Options</w:t>
      </w:r>
    </w:p>
    <w:p>
      <w:pPr>
        <w:spacing w:after="0" w:line="43" w:lineRule="exact"/>
        <w:rPr>
          <w:sz w:val="24"/>
          <w:szCs w:val="24"/>
          <w:color w:val="auto"/>
        </w:rPr>
      </w:pPr>
    </w:p>
    <w:p>
      <w:pPr>
        <w:jc w:val="right"/>
        <w:ind w:right="1920"/>
        <w:spacing w:after="0"/>
        <w:rPr>
          <w:sz w:val="20"/>
          <w:szCs w:val="20"/>
          <w:color w:val="auto"/>
        </w:rPr>
      </w:pPr>
      <w:r>
        <w:rPr>
          <w:rFonts w:ascii="Times New Roman" w:cs="Times New Roman" w:eastAsia="Times New Roman" w:hAnsi="Times New Roman"/>
          <w:sz w:val="20"/>
          <w:szCs w:val="20"/>
          <w:color w:val="0000FF"/>
        </w:rPr>
        <w:t>Options</w:t>
      </w:r>
    </w:p>
    <w:p>
      <w:pPr>
        <w:spacing w:after="0" w:line="44" w:lineRule="exact"/>
        <w:rPr>
          <w:sz w:val="24"/>
          <w:szCs w:val="24"/>
          <w:color w:val="auto"/>
        </w:rPr>
      </w:pPr>
    </w:p>
    <w:p>
      <w:pPr>
        <w:jc w:val="right"/>
        <w:ind w:right="1920"/>
        <w:spacing w:after="0"/>
        <w:rPr>
          <w:sz w:val="20"/>
          <w:szCs w:val="20"/>
          <w:color w:val="auto"/>
        </w:rPr>
      </w:pPr>
      <w:r>
        <w:rPr>
          <w:sz w:val="1"/>
          <w:szCs w:val="1"/>
          <w:color w:val="auto"/>
        </w:rPr>
        <w:drawing>
          <wp:inline distT="0" distB="0" distL="0" distR="0">
            <wp:extent cx="34925" cy="273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925" cy="273050"/>
                    </a:xfrm>
                    <a:prstGeom prst="rect">
                      <a:avLst/>
                    </a:prstGeom>
                    <a:noFill/>
                    <a:ln>
                      <a:noFill/>
                    </a:ln>
                  </pic:spPr>
                </pic:pic>
              </a:graphicData>
            </a:graphic>
          </wp:inline>
        </w:drawing>
      </w:r>
      <w:r>
        <w:rPr>
          <w:rFonts w:ascii="Times New Roman" w:cs="Times New Roman" w:eastAsia="Times New Roman" w:hAnsi="Times New Roman"/>
          <w:sz w:val="17"/>
          <w:szCs w:val="17"/>
          <w:color w:val="0000FF"/>
        </w:rPr>
        <w:t xml:space="preserve"> Options</w:t>
      </w:r>
    </w:p>
    <w:p>
      <w:pPr>
        <w:spacing w:after="0" w:line="39" w:lineRule="exact"/>
        <w:rPr>
          <w:sz w:val="24"/>
          <w:szCs w:val="24"/>
          <w:color w:val="auto"/>
        </w:rPr>
      </w:pPr>
    </w:p>
    <w:p>
      <w:pPr>
        <w:jc w:val="right"/>
        <w:ind w:right="1920"/>
        <w:spacing w:after="0"/>
        <w:rPr>
          <w:sz w:val="20"/>
          <w:szCs w:val="20"/>
          <w:color w:val="auto"/>
        </w:rPr>
      </w:pPr>
      <w:r>
        <w:rPr>
          <w:rFonts w:ascii="Times New Roman" w:cs="Times New Roman" w:eastAsia="Times New Roman" w:hAnsi="Times New Roman"/>
          <w:sz w:val="20"/>
          <w:szCs w:val="20"/>
          <w:color w:val="0000FF"/>
        </w:rPr>
        <w:t>Options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w w:val="92"/>
              </w:rPr>
              <w:t>(2)</w:t>
            </w: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008000"/>
              </w:rPr>
              <w:t>(2)</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35,231,753</w:t>
            </w: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540" w:type="dxa"/>
            <w:vAlign w:val="bottom"/>
          </w:tcPr>
          <w:p>
            <w:pPr>
              <w:ind w:left="400"/>
              <w:spacing w:after="0"/>
              <w:rPr>
                <w:sz w:val="20"/>
                <w:szCs w:val="20"/>
                <w:color w:val="auto"/>
              </w:rPr>
            </w:pPr>
            <w:r>
              <w:rPr>
                <w:rFonts w:ascii="Times New Roman" w:cs="Times New Roman" w:eastAsia="Times New Roman" w:hAnsi="Times New Roman"/>
                <w:sz w:val="20"/>
                <w:szCs w:val="20"/>
                <w:color w:val="0000FF"/>
                <w:w w:val="82"/>
              </w:rPr>
              <w:t>D</w:t>
            </w:r>
          </w:p>
        </w:tc>
      </w:tr>
      <w:tr>
        <w:trPr>
          <w:trHeight w:val="390"/>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w w:val="92"/>
              </w:rPr>
              <w:t>(3)</w:t>
            </w: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008000"/>
              </w:rPr>
              <w:t>(3)</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35,231,753</w:t>
            </w: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540" w:type="dxa"/>
            <w:vAlign w:val="bottom"/>
          </w:tcPr>
          <w:p>
            <w:pPr>
              <w:ind w:left="400"/>
              <w:spacing w:after="0"/>
              <w:rPr>
                <w:sz w:val="20"/>
                <w:szCs w:val="20"/>
                <w:color w:val="auto"/>
              </w:rPr>
            </w:pPr>
            <w:r>
              <w:rPr>
                <w:rFonts w:ascii="Times New Roman" w:cs="Times New Roman" w:eastAsia="Times New Roman" w:hAnsi="Times New Roman"/>
                <w:sz w:val="20"/>
                <w:szCs w:val="20"/>
                <w:color w:val="0000FF"/>
                <w:w w:val="82"/>
              </w:rPr>
              <w:t>D</w:t>
            </w:r>
          </w:p>
        </w:tc>
      </w:tr>
      <w:tr>
        <w:trPr>
          <w:trHeight w:val="390"/>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w w:val="92"/>
              </w:rPr>
              <w:t>(4)</w:t>
            </w: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008000"/>
              </w:rPr>
              <w:t>(4)</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42,362,799</w:t>
            </w: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(4)</w:t>
            </w:r>
          </w:p>
        </w:tc>
        <w:tc>
          <w:tcPr>
            <w:tcW w:w="540" w:type="dxa"/>
            <w:vAlign w:val="bottom"/>
          </w:tcPr>
          <w:p>
            <w:pPr>
              <w:ind w:left="400"/>
              <w:spacing w:after="0"/>
              <w:rPr>
                <w:sz w:val="20"/>
                <w:szCs w:val="20"/>
                <w:color w:val="auto"/>
              </w:rPr>
            </w:pPr>
            <w:r>
              <w:rPr>
                <w:rFonts w:ascii="Times New Roman" w:cs="Times New Roman" w:eastAsia="Times New Roman" w:hAnsi="Times New Roman"/>
                <w:sz w:val="20"/>
                <w:szCs w:val="20"/>
                <w:color w:val="0000FF"/>
                <w:w w:val="82"/>
              </w:rPr>
              <w:t>D</w:t>
            </w:r>
          </w:p>
        </w:tc>
      </w:tr>
      <w:tr>
        <w:trPr>
          <w:trHeight w:val="390"/>
        </w:trPr>
        <w:tc>
          <w:tcPr>
            <w:tcW w:w="56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008000"/>
                <w:w w:val="92"/>
              </w:rPr>
              <w:t>(5)</w:t>
            </w: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008000"/>
              </w:rPr>
              <w:t>(5)</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42,362,799</w:t>
            </w: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008000"/>
              </w:rPr>
              <w:t>(5)</w:t>
            </w:r>
          </w:p>
        </w:tc>
        <w:tc>
          <w:tcPr>
            <w:tcW w:w="540" w:type="dxa"/>
            <w:vAlign w:val="bottom"/>
          </w:tcPr>
          <w:p>
            <w:pPr>
              <w:ind w:left="400"/>
              <w:spacing w:after="0"/>
              <w:rPr>
                <w:sz w:val="20"/>
                <w:szCs w:val="20"/>
                <w:color w:val="auto"/>
              </w:rPr>
            </w:pPr>
            <w:r>
              <w:rPr>
                <w:rFonts w:ascii="Times New Roman" w:cs="Times New Roman" w:eastAsia="Times New Roman" w:hAnsi="Times New Roman"/>
                <w:sz w:val="20"/>
                <w:szCs w:val="20"/>
                <w:color w:val="0000FF"/>
                <w:w w:val="82"/>
              </w:rPr>
              <w:t>D</w:t>
            </w:r>
          </w:p>
        </w:tc>
      </w:tr>
    </w:tbl>
    <w:p>
      <w:pPr>
        <w:spacing w:after="0" w:line="122" w:lineRule="exact"/>
        <w:rPr>
          <w:sz w:val="24"/>
          <w:szCs w:val="24"/>
          <w:color w:val="auto"/>
        </w:rPr>
      </w:pPr>
    </w:p>
    <w:p>
      <w:pPr>
        <w:sectPr>
          <w:pgSz w:w="11900" w:h="16838" w:orient="portrait"/>
          <w:cols w:equalWidth="0" w:num="2">
            <w:col w:w="2620" w:space="720"/>
            <w:col w:w="7600"/>
          </w:cols>
          <w:pgMar w:left="480" w:top="230" w:right="479" w:bottom="25" w:gutter="0" w:footer="0" w:header="0"/>
          <w:type w:val="continuous"/>
        </w:sect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5,000 ordinary shares, nominal value 0.0004 Pounds Sterling per share (the "Ordinary Shares"), of NuCana plc (the "Company"). ADSs have no expiration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underlying this option have an exercise price of 0.004 Pounds Sterling, completed vesting on June 20, 2025 and expire June 20, 2035.</w:t>
      </w:r>
    </w:p>
    <w:p>
      <w:pPr>
        <w:spacing w:after="0" w:line="52"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underlying this option have an exercise price of 0.0004 Pounds Sterling and will vest in full on June 20, 2026, subject to the Reporting Person's continued service with the Company through the applicable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underlying this option have an exercise price of 0.0005 Pounds Sterling, completed vesting on January 14, 2026 and expire January 14, 2036.</w:t>
      </w:r>
    </w:p>
    <w:p>
      <w:pPr>
        <w:spacing w:after="0" w:line="52" w:lineRule="exact"/>
        <w:rPr>
          <w:rFonts w:ascii="Times New Roman" w:cs="Times New Roman" w:eastAsia="Times New Roman" w:hAnsi="Times New Roman"/>
          <w:sz w:val="15"/>
          <w:szCs w:val="15"/>
          <w:color w:val="008000"/>
        </w:rPr>
      </w:pPr>
    </w:p>
    <w:p>
      <w:pPr>
        <w:ind w:left="40" w:right="6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underlying this option have an exercise price of 0.0004 Pounds Sterling and will vest in full on January 14, 2027, subject to the Reporting Person's continued service with the Company through the applicable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40"/>
        <w:spacing w:after="0" w:line="259" w:lineRule="auto"/>
        <w:rPr>
          <w:sz w:val="20"/>
          <w:szCs w:val="20"/>
          <w:color w:val="auto"/>
        </w:rPr>
      </w:pPr>
      <w:r>
        <w:rPr>
          <w:rFonts w:ascii="Times New Roman" w:cs="Times New Roman" w:eastAsia="Times New Roman" w:hAnsi="Times New Roman"/>
          <w:sz w:val="15"/>
          <w:szCs w:val="15"/>
          <w:color w:val="008000"/>
        </w:rPr>
        <w:t>This Form 3 is being filed late due to unanticipated delays in receiving the Reporting Person's EDGAR codes, which delays the Reporting Person understands were due to the high volume of applications at the time. Exhibit 24.1 -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Ian Webster,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03/20/2026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Martin Mellish</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5"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jc w:val="both"/>
        <w:ind w:firstLine="729"/>
        <w:spacing w:after="0" w:line="24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Hugh Griffith and Ian Webster, the Chief Executive Officer and Interim Chief Financial Officer, respectively, of NuCana plc (the “Company”), and John T. Rudy, Allyson Wilkinson, Gianna M. Nappi, Michelle St Francis, Robyn M. Frattali and Autumn N. Mays of Mintz, Levin, Cohn, Ferris, Glovsky and Popeo, P.C., signing singly, with full power of substitution, the undersigned’s true and lawful attorney-in-fact to:</w:t>
      </w:r>
    </w:p>
    <w:p>
      <w:pPr>
        <w:spacing w:after="0" w:line="203" w:lineRule="exact"/>
        <w:rPr>
          <w:sz w:val="20"/>
          <w:szCs w:val="20"/>
          <w:color w:val="auto"/>
        </w:rPr>
      </w:pPr>
    </w:p>
    <w:p>
      <w:pPr>
        <w:ind w:left="1380" w:right="1020" w:hanging="651"/>
        <w:spacing w:after="0" w:line="273"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director of the Company, forms and authentication documents for EDGAR Filing Access;</w:t>
      </w:r>
    </w:p>
    <w:p>
      <w:pPr>
        <w:spacing w:after="0" w:line="189" w:lineRule="exact"/>
        <w:rPr>
          <w:rFonts w:ascii="Times New Roman" w:cs="Times New Roman" w:eastAsia="Times New Roman" w:hAnsi="Times New Roman"/>
          <w:sz w:val="22"/>
          <w:szCs w:val="22"/>
          <w:color w:val="auto"/>
        </w:rPr>
      </w:pPr>
    </w:p>
    <w:p>
      <w:pPr>
        <w:ind w:left="1380" w:right="1020" w:hanging="651"/>
        <w:spacing w:after="0" w:line="273"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any such forms and authentication documents;</w:t>
      </w:r>
    </w:p>
    <w:p>
      <w:pPr>
        <w:spacing w:after="0" w:line="189" w:lineRule="exact"/>
        <w:rPr>
          <w:rFonts w:ascii="Times New Roman" w:cs="Times New Roman" w:eastAsia="Times New Roman" w:hAnsi="Times New Roman"/>
          <w:sz w:val="22"/>
          <w:szCs w:val="22"/>
          <w:color w:val="auto"/>
        </w:rPr>
      </w:pPr>
    </w:p>
    <w:p>
      <w:pPr>
        <w:jc w:val="both"/>
        <w:ind w:left="1380" w:right="1020" w:hanging="651"/>
        <w:spacing w:after="0" w:line="257"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director of the Company, Forms 3, 4 and 5 in accordance with Section 16(a) of the Securities Exchange Act of 1934, as amended, and the rules thereunder;</w:t>
      </w:r>
    </w:p>
    <w:p>
      <w:pPr>
        <w:spacing w:after="0" w:line="207" w:lineRule="exact"/>
        <w:rPr>
          <w:rFonts w:ascii="Times New Roman" w:cs="Times New Roman" w:eastAsia="Times New Roman" w:hAnsi="Times New Roman"/>
          <w:sz w:val="22"/>
          <w:szCs w:val="22"/>
          <w:color w:val="auto"/>
        </w:rPr>
      </w:pPr>
    </w:p>
    <w:p>
      <w:pPr>
        <w:jc w:val="both"/>
        <w:ind w:left="1380" w:right="1020" w:hanging="651"/>
        <w:spacing w:after="0" w:line="252"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213" w:lineRule="exact"/>
        <w:rPr>
          <w:rFonts w:ascii="Times New Roman" w:cs="Times New Roman" w:eastAsia="Times New Roman" w:hAnsi="Times New Roman"/>
          <w:sz w:val="22"/>
          <w:szCs w:val="22"/>
          <w:color w:val="auto"/>
        </w:rPr>
      </w:pPr>
    </w:p>
    <w:p>
      <w:pPr>
        <w:jc w:val="both"/>
        <w:ind w:left="1380" w:right="1020" w:hanging="651"/>
        <w:spacing w:after="0" w:line="248" w:lineRule="auto"/>
        <w:tabs>
          <w:tab w:leader="none" w:pos="1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7" w:lineRule="exact"/>
        <w:rPr>
          <w:sz w:val="20"/>
          <w:szCs w:val="20"/>
          <w:color w:val="auto"/>
        </w:rPr>
      </w:pPr>
    </w:p>
    <w:p>
      <w:pPr>
        <w:jc w:val="both"/>
        <w:ind w:firstLine="729"/>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1116330</wp:posOffset>
            </wp:positionV>
            <wp:extent cx="6972300" cy="44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ind w:right="20"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 3/20/2026</w:t>
            </w:r>
          </w:p>
        </w:tc>
        <w:tc>
          <w:tcPr>
            <w:tcW w:w="7360" w:type="dxa"/>
            <w:vAlign w:val="bottom"/>
            <w:gridSpan w:val="3"/>
          </w:tcPr>
          <w:p>
            <w:pPr>
              <w:ind w:left="2000"/>
              <w:spacing w:after="0"/>
              <w:rPr>
                <w:sz w:val="20"/>
                <w:szCs w:val="20"/>
                <w:color w:val="auto"/>
              </w:rPr>
            </w:pPr>
            <w:r>
              <w:rPr>
                <w:rFonts w:ascii="Times New Roman" w:cs="Times New Roman" w:eastAsia="Times New Roman" w:hAnsi="Times New Roman"/>
                <w:sz w:val="22"/>
                <w:szCs w:val="22"/>
                <w:color w:val="auto"/>
              </w:rPr>
              <w:t>By: /s/ Martin Mellish</w:t>
            </w:r>
          </w:p>
        </w:tc>
      </w:tr>
      <w:tr>
        <w:trPr>
          <w:trHeight w:val="20"/>
        </w:trPr>
        <w:tc>
          <w:tcPr>
            <w:tcW w:w="3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86"/>
        </w:trPr>
        <w:tc>
          <w:tcPr>
            <w:tcW w:w="3580" w:type="dxa"/>
            <w:vAlign w:val="bottom"/>
          </w:tcPr>
          <w:p>
            <w:pPr>
              <w:spacing w:after="0"/>
              <w:rPr>
                <w:sz w:val="24"/>
                <w:szCs w:val="24"/>
                <w:color w:val="auto"/>
              </w:rPr>
            </w:pPr>
          </w:p>
        </w:tc>
        <w:tc>
          <w:tcPr>
            <w:tcW w:w="7360" w:type="dxa"/>
            <w:vAlign w:val="bottom"/>
            <w:gridSpan w:val="3"/>
          </w:tcPr>
          <w:p>
            <w:pPr>
              <w:ind w:left="2260"/>
              <w:spacing w:after="0"/>
              <w:rPr>
                <w:sz w:val="20"/>
                <w:szCs w:val="20"/>
                <w:color w:val="auto"/>
              </w:rPr>
            </w:pPr>
            <w:r>
              <w:rPr>
                <w:rFonts w:ascii="Times New Roman" w:cs="Times New Roman" w:eastAsia="Times New Roman" w:hAnsi="Times New Roman"/>
                <w:sz w:val="22"/>
                <w:szCs w:val="22"/>
                <w:color w:val="auto"/>
              </w:rPr>
              <w:t>Name: Martin Mellish</w:t>
            </w:r>
          </w:p>
        </w:tc>
      </w:tr>
      <w:tr>
        <w:trPr>
          <w:trHeight w:val="1805"/>
        </w:trPr>
        <w:tc>
          <w:tcPr>
            <w:tcW w:w="35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0" Type="http://schemas.openxmlformats.org/officeDocument/2006/relationships/hyperlink" Target="http://www.sec.gov/cgi-bin/browse-edgar?action=getcompany&amp;CIK=0001992320" TargetMode="External"/><Relationship Id="rId11" Type="http://schemas.openxmlformats.org/officeDocument/2006/relationships/hyperlink" Target="http://www.sec.gov/cgi-bin/browse-edgar?action=getcompany&amp;CIK=0001709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2026-03-20T15:18:02Z</dcterms:created>
  <dcterms:modified xsi:type="dcterms:W3CDTF">2026-03-20T15:18:02Z</dcterms:modified>
</cp:coreProperties>
</file>