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No. 001-38215)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NUCANA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Lochside Way</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Edinburgh EH12 9DT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 (b) (1):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 (b)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264795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14, 2026, NuCana plc (the “Company”) issued a press release announcing its first quarter 2026 financial results. The Company’s unaudited condensed consolidated financial statements as of March 31, 2026 are attached as Exhibit 99.1 and are incorporated by reference herein. The Company’s Management’s Discussion and Analysis of Financial Condition and Results of Operations is attached as Exhibit 99.2 hereto and is incorporated by reference herein. The press release is attached as Exhibit 99.3 hereto and is incorporated by reference herein.</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and in the attached Exhibits 99.1 and 99.2 shall be deemed to be incorporated by reference into the registration statements on Form F-3, as amended (File Number 333-281576) and Form S-8 (File Number 333-223476, File Number 333-248135 and File Number 333-294466),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the attached Exhibit 99.3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0"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Unaudited Condensed Consolidated Financial Statements as of March 31, 2026 and for the Three Months Ended March 31, 2026 and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Management’s Discussion and Analysis of Financial Condition and Results of Operations for the Three Months Ended March 31, 2026 and</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0000EE"/>
        </w:rPr>
        <w:t>2025</w:t>
      </w:r>
    </w:p>
    <w:p>
      <w:pPr>
        <w:spacing w:after="0" w:line="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Press Release dated May 14, 2026</w:t>
      </w:r>
    </w:p>
    <w:p>
      <w:pPr>
        <w:sectPr>
          <w:pgSz w:w="11900" w:h="16838" w:orient="portrait"/>
          <w:cols w:equalWidth="0" w:num="1">
            <w:col w:w="11000"/>
          </w:cols>
          <w:pgMar w:left="440" w:top="266"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Webster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Interim Chief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0420"/>
          </w:cols>
          <w:pgMar w:left="440" w:top="266"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4700" w:type="dxa"/>
            <w:vAlign w:val="bottom"/>
          </w:tcPr>
          <w:p>
            <w:pPr>
              <w:jc w:val="right"/>
              <w:ind w:right="2435"/>
              <w:spacing w:after="0"/>
              <w:rPr>
                <w:sz w:val="20"/>
                <w:szCs w:val="20"/>
                <w:color w:val="auto"/>
              </w:rPr>
            </w:pPr>
            <w:r>
              <w:rPr>
                <w:rFonts w:ascii="Times New Roman" w:cs="Times New Roman" w:eastAsia="Times New Roman" w:hAnsi="Times New Roman"/>
                <w:sz w:val="18"/>
                <w:szCs w:val="18"/>
                <w:b w:val="1"/>
                <w:bCs w:val="1"/>
                <w:color w:val="auto"/>
              </w:rPr>
              <w:t>NUCANA PLC</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80" w:type="dxa"/>
            <w:vAlign w:val="bottom"/>
            <w:gridSpan w:val="5"/>
          </w:tcPr>
          <w:p>
            <w:pPr>
              <w:ind w:left="2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47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i w:val="1"/>
                <w:iCs w:val="1"/>
                <w:color w:val="auto"/>
              </w:rPr>
              <w:t>Notes</w:t>
            </w:r>
          </w:p>
        </w:tc>
        <w:tc>
          <w:tcPr>
            <w:tcW w:w="146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700" w:type="dxa"/>
            <w:vAlign w:val="bottom"/>
            <w:vMerge w:val="continue"/>
          </w:tcPr>
          <w:p>
            <w:pPr>
              <w:spacing w:after="0"/>
              <w:rPr>
                <w:sz w:val="12"/>
                <w:szCs w:val="12"/>
                <w:color w:val="auto"/>
              </w:rPr>
            </w:pPr>
          </w:p>
        </w:tc>
        <w:tc>
          <w:tcPr>
            <w:tcW w:w="9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28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47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gains (losses)</w:t>
            </w:r>
          </w:p>
        </w:tc>
        <w:tc>
          <w:tcPr>
            <w:tcW w:w="4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7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47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4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4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4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ectPr>
          <w:pgSz w:w="11900" w:h="16838" w:orient="portrait"/>
          <w:cols w:equalWidth="0" w:num="1">
            <w:col w:w="11020"/>
          </w:cols>
          <w:pgMar w:left="440" w:top="117"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NUCANA PLC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50"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7"/>
        </w:trPr>
        <w:tc>
          <w:tcPr>
            <w:tcW w:w="9080" w:type="dxa"/>
            <w:vAlign w:val="bottom"/>
          </w:tcPr>
          <w:p>
            <w:pPr>
              <w:spacing w:after="0"/>
              <w:rPr>
                <w:sz w:val="10"/>
                <w:szCs w:val="10"/>
                <w:color w:val="auto"/>
              </w:rPr>
            </w:pPr>
          </w:p>
        </w:tc>
        <w:tc>
          <w:tcPr>
            <w:tcW w:w="1820" w:type="dxa"/>
            <w:vAlign w:val="bottom"/>
            <w:gridSpan w:val="3"/>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r>
      <w:tr>
        <w:trPr>
          <w:trHeight w:val="173"/>
        </w:trPr>
        <w:tc>
          <w:tcPr>
            <w:tcW w:w="908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(3,865)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(2,473)</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(expense):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9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(expense) for the period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(3,847)</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12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holders of the Company</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(3,847)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(2,500)</w:t>
            </w:r>
          </w:p>
        </w:tc>
      </w:tr>
      <w:tr>
        <w:trPr>
          <w:trHeight w:val="20"/>
        </w:trPr>
        <w:tc>
          <w:tcPr>
            <w:tcW w:w="9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ectPr>
          <w:pgSz w:w="11900" w:h="16838" w:orient="portrait"/>
          <w:cols w:equalWidth="0" w:num="1">
            <w:col w:w="11020"/>
          </w:cols>
          <w:pgMar w:left="440" w:top="266"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NUCANA PLC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   2026    </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25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i w:val="1"/>
                <w:iCs w:val="1"/>
                <w:color w:val="auto"/>
              </w:rPr>
              <w:t>Notes</w:t>
            </w:r>
          </w:p>
        </w:tc>
        <w:tc>
          <w:tcPr>
            <w:tcW w:w="1860" w:type="dxa"/>
            <w:vAlign w:val="bottom"/>
            <w:gridSpan w:val="4"/>
          </w:tcPr>
          <w:p>
            <w:pPr>
              <w:jc w:val="right"/>
              <w:ind w:right="452"/>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accrued income and other receivables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receivable</w:t>
            </w:r>
          </w:p>
        </w:tc>
        <w:tc>
          <w:tcPr>
            <w:tcW w:w="2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26,861</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and share premium</w:t>
            </w:r>
          </w:p>
        </w:tc>
        <w:tc>
          <w:tcPr>
            <w:tcW w:w="2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189,586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189,586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83,953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87,075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(251,172)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(252,334)</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equity holders of the Company</w:t>
            </w:r>
          </w:p>
        </w:tc>
        <w:tc>
          <w:tcPr>
            <w:tcW w:w="2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22,367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and social security</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expenditure</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5,186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5,507</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NUCANA PLC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w:t>
            </w: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equity</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center"/>
              <w:ind w:left="195"/>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5,681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146,146</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(339)</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36,276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42,466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(224,294)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5,954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expense for the period</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440" w:type="dxa"/>
            <w:vAlign w:val="bottom"/>
            <w:tcBorders>
              <w:top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258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 issue expenses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gridSpan w:val="2"/>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146,213</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(339)</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36,491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42,466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(226,724)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4,174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14,340</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175,246</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(339)</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44,991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42,466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(252,334)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24,327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for the period</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share options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175,246</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41,851</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42,466</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(251,172)</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NUCANA PLC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50"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9060" w:type="dxa"/>
            <w:vAlign w:val="bottom"/>
          </w:tcPr>
          <w:p>
            <w:pPr>
              <w:spacing w:after="0"/>
              <w:rPr>
                <w:sz w:val="13"/>
                <w:szCs w:val="13"/>
                <w:color w:val="auto"/>
              </w:rPr>
            </w:pPr>
          </w:p>
        </w:tc>
        <w:tc>
          <w:tcPr>
            <w:tcW w:w="800" w:type="dxa"/>
            <w:vAlign w:val="bottom"/>
            <w:tcBorders>
              <w:bottom w:val="single" w:sz="8" w:color="auto"/>
            </w:tcBorders>
          </w:tcPr>
          <w:p>
            <w:pPr>
              <w:jc w:val="right"/>
              <w:ind w:right="172"/>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60" w:type="dxa"/>
            <w:vAlign w:val="bottom"/>
          </w:tcPr>
          <w:p>
            <w:pPr>
              <w:spacing w:after="0"/>
              <w:rPr>
                <w:sz w:val="10"/>
                <w:szCs w:val="10"/>
                <w:color w:val="auto"/>
              </w:rPr>
            </w:pPr>
          </w:p>
        </w:tc>
        <w:tc>
          <w:tcPr>
            <w:tcW w:w="1840" w:type="dxa"/>
            <w:vAlign w:val="bottom"/>
            <w:gridSpan w:val="4"/>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6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(3,865)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(gains) losses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prepayments, accrued income and other receivables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payroll taxes, social security and accrued expenditure</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operations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tax received</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 (used in) investing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lease liabilities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 capital</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from financing activities</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60" w:type="dxa"/>
            <w:vAlign w:val="bottom"/>
            <w:vMerge w:val="continue"/>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6,749</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21,529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condensed consolidated financial statements.</w:t>
      </w:r>
    </w:p>
    <w:p>
      <w:pPr>
        <w:sectPr>
          <w:pgSz w:w="11900" w:h="16838" w:orient="portrait"/>
          <w:cols w:equalWidth="0" w:num="1">
            <w:col w:w="11020"/>
          </w:cols>
          <w:pgMar w:left="440" w:top="266" w:right="43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NUCANA PLC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121" w:lineRule="exact"/>
        <w:rPr>
          <w:sz w:val="20"/>
          <w:szCs w:val="20"/>
          <w:color w:val="auto"/>
        </w:rPr>
      </w:pPr>
    </w:p>
    <w:p>
      <w:pPr>
        <w:ind w:left="444" w:right="560"/>
        <w:spacing w:after="0" w:line="266" w:lineRule="auto"/>
        <w:rPr>
          <w:sz w:val="20"/>
          <w:szCs w:val="20"/>
          <w:color w:val="auto"/>
        </w:rPr>
      </w:pPr>
      <w:r>
        <w:rPr>
          <w:rFonts w:ascii="Times New Roman" w:cs="Times New Roman" w:eastAsia="Times New Roman" w:hAnsi="Times New Roman"/>
          <w:sz w:val="18"/>
          <w:szCs w:val="18"/>
          <w:color w:val="auto"/>
        </w:rPr>
        <w:t>NuCana plc (“NuCana” or the “Company”) is a clinical-stage biopharmaceutical company developing a portfolio of new medicines to treat patients with cancer. NuCana is harnessing the power of phosphoramidate chemistry to generate new medicines called ProTides. These compounds have the potential to improve cancer treatment by enhancing the efficacy and safety of several current standards of care.</w:t>
      </w:r>
    </w:p>
    <w:p>
      <w:pPr>
        <w:spacing w:after="0" w:line="68" w:lineRule="exact"/>
        <w:rPr>
          <w:sz w:val="20"/>
          <w:szCs w:val="20"/>
          <w:color w:val="auto"/>
        </w:rPr>
      </w:pPr>
    </w:p>
    <w:p>
      <w:pPr>
        <w:ind w:left="444" w:right="20"/>
        <w:spacing w:after="0" w:line="258" w:lineRule="auto"/>
        <w:rPr>
          <w:sz w:val="20"/>
          <w:szCs w:val="20"/>
          <w:color w:val="auto"/>
        </w:rPr>
      </w:pPr>
      <w:r>
        <w:rPr>
          <w:rFonts w:ascii="Times New Roman" w:cs="Times New Roman" w:eastAsia="Times New Roman" w:hAnsi="Times New Roman"/>
          <w:sz w:val="18"/>
          <w:szCs w:val="18"/>
          <w:color w:val="auto"/>
        </w:rPr>
        <w:t>The Company has had American Depository Shares (“ADSs”) registered with the US Securities and Exchange Commission (“SEC”) and has been listed on Nasdaq since October 2, 2017. From November 9, 2023 the Company transferred its listing to The Nasdaq Capital Market. On April 16, 2024, the Company effected a ratio change of its ADSs to its ordinary shares from one ADS representing one ordinary share, to one ADS representing 25 ordinary shares. On August 11, 2025, the Company effected a ratio change of its ADSs to its ordinary shares from one ADS representing 25 ordinary shares, to one ADS representing 5,000 ordinary shares.</w:t>
      </w:r>
    </w:p>
    <w:p>
      <w:pPr>
        <w:spacing w:after="0" w:line="75" w:lineRule="exact"/>
        <w:rPr>
          <w:sz w:val="20"/>
          <w:szCs w:val="20"/>
          <w:color w:val="auto"/>
        </w:rPr>
      </w:pPr>
    </w:p>
    <w:p>
      <w:pPr>
        <w:ind w:left="444" w:right="220"/>
        <w:spacing w:after="0" w:line="266" w:lineRule="auto"/>
        <w:rPr>
          <w:sz w:val="20"/>
          <w:szCs w:val="20"/>
          <w:color w:val="auto"/>
        </w:rPr>
      </w:pPr>
      <w:r>
        <w:rPr>
          <w:rFonts w:ascii="Times New Roman" w:cs="Times New Roman" w:eastAsia="Times New Roman" w:hAnsi="Times New Roman"/>
          <w:sz w:val="18"/>
          <w:szCs w:val="18"/>
          <w:color w:val="auto"/>
        </w:rPr>
        <w:t>The Company is incorporated in England and Wales and domiciled in the United Kingdom. The Company’s registered office is located at 77/78 Cannon Street, London EC4N 6AF, United Kingdom and its principal place of business is located at 3 Lochside Way, Edinburgh, EH12 9DT, United Kingdom.</w:t>
      </w:r>
    </w:p>
    <w:p>
      <w:pPr>
        <w:spacing w:after="0" w:line="68" w:lineRule="exact"/>
        <w:rPr>
          <w:sz w:val="20"/>
          <w:szCs w:val="20"/>
          <w:color w:val="auto"/>
        </w:rPr>
      </w:pPr>
    </w:p>
    <w:p>
      <w:pPr>
        <w:ind w:left="444" w:right="340"/>
        <w:spacing w:after="0" w:line="282" w:lineRule="auto"/>
        <w:rPr>
          <w:sz w:val="20"/>
          <w:szCs w:val="20"/>
          <w:color w:val="auto"/>
        </w:rPr>
      </w:pPr>
      <w:r>
        <w:rPr>
          <w:rFonts w:ascii="Times New Roman" w:cs="Times New Roman" w:eastAsia="Times New Roman" w:hAnsi="Times New Roman"/>
          <w:sz w:val="18"/>
          <w:szCs w:val="18"/>
          <w:color w:val="auto"/>
        </w:rPr>
        <w:t>The Company has three wholly owned subsidiaries, NuCana, Inc., NuCana Limited and NuCana BioMed Trustee Company Limited (together referred to as the “Group”).</w:t>
      </w:r>
    </w:p>
    <w:p>
      <w:pPr>
        <w:spacing w:after="0" w:line="54" w:lineRule="exact"/>
        <w:rPr>
          <w:sz w:val="20"/>
          <w:szCs w:val="20"/>
          <w:color w:val="auto"/>
        </w:rPr>
      </w:pPr>
    </w:p>
    <w:p>
      <w:pPr>
        <w:ind w:left="444" w:right="440"/>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in these unaudited condensed consolidated financial statements does not constitute the Group’s statutory accounts within the meaning of section 434 of the U.K. Companies Act 2006.</w:t>
      </w:r>
    </w:p>
    <w:p>
      <w:pPr>
        <w:spacing w:after="0" w:line="54" w:lineRule="exact"/>
        <w:rPr>
          <w:sz w:val="20"/>
          <w:szCs w:val="20"/>
          <w:color w:val="auto"/>
        </w:rPr>
      </w:pPr>
    </w:p>
    <w:p>
      <w:pPr>
        <w:jc w:val="both"/>
        <w:ind w:left="444" w:right="180"/>
        <w:spacing w:after="0" w:line="266" w:lineRule="auto"/>
        <w:rPr>
          <w:sz w:val="20"/>
          <w:szCs w:val="20"/>
          <w:color w:val="auto"/>
        </w:rPr>
      </w:pPr>
      <w:r>
        <w:rPr>
          <w:rFonts w:ascii="Times New Roman" w:cs="Times New Roman" w:eastAsia="Times New Roman" w:hAnsi="Times New Roman"/>
          <w:sz w:val="18"/>
          <w:szCs w:val="18"/>
          <w:color w:val="auto"/>
        </w:rPr>
        <w:t>The Group’s statutory accounts for the year ended December 31, 2025 have been reported on by the Company’s auditor, but not yet delivered to the Registrar of Companies. The report of the auditor was (i) unqualified and (ii) did not include a reference to any matters to which the auditors drew attention by way of emphasis without qualifying their report.</w:t>
      </w:r>
    </w:p>
    <w:p>
      <w:pPr>
        <w:spacing w:after="0" w:line="280" w:lineRule="exact"/>
        <w:rPr>
          <w:sz w:val="20"/>
          <w:szCs w:val="20"/>
          <w:color w:val="auto"/>
        </w:rPr>
      </w:pPr>
    </w:p>
    <w:p>
      <w:pPr>
        <w:ind w:left="444" w:right="8660" w:hanging="444"/>
        <w:spacing w:after="0" w:line="400" w:lineRule="auto"/>
        <w:tabs>
          <w:tab w:leader="none" w:pos="184"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Material accounting policies </w:t>
      </w:r>
      <w:r>
        <w:rPr>
          <w:rFonts w:ascii="Times New Roman" w:cs="Times New Roman" w:eastAsia="Times New Roman" w:hAnsi="Times New Roman"/>
          <w:sz w:val="17"/>
          <w:szCs w:val="17"/>
          <w:b w:val="1"/>
          <w:bCs w:val="1"/>
          <w:i w:val="1"/>
          <w:iCs w:val="1"/>
          <w:color w:val="auto"/>
        </w:rPr>
        <w:t>Basis of preparation</w:t>
      </w:r>
    </w:p>
    <w:p>
      <w:pPr>
        <w:ind w:left="444" w:right="60"/>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(the “financial statements”) for the three months ended March 31, 2026 have been prepared in accordance with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xml:space="preserve"> (“IAS 34”). The material accounting policies and methods of computation applied in the preparation of the financial statements are consistent with those applied in the Company’s annual financial statements for the year ended December 31, 2025. No new standards, amendments or interpretations have had an impact on the financial statements for the three months ended March 31, 2026. The financial statements comprise the financial statements of the Group at March 31, 2026. The financial statements are presented in pounds sterling, which is also the Company’s functional currency. All values are rounded to the nearest thousand, except where otherwise indicated.</w:t>
      </w:r>
    </w:p>
    <w:p>
      <w:pPr>
        <w:spacing w:after="0" w:line="81" w:lineRule="exact"/>
        <w:rPr>
          <w:sz w:val="20"/>
          <w:szCs w:val="20"/>
          <w:color w:val="auto"/>
        </w:rPr>
      </w:pPr>
    </w:p>
    <w:p>
      <w:pPr>
        <w:ind w:left="444" w:right="480"/>
        <w:spacing w:after="0" w:line="282" w:lineRule="auto"/>
        <w:rPr>
          <w:sz w:val="20"/>
          <w:szCs w:val="20"/>
          <w:color w:val="auto"/>
        </w:rPr>
      </w:pPr>
      <w:r>
        <w:rPr>
          <w:rFonts w:ascii="Times New Roman" w:cs="Times New Roman" w:eastAsia="Times New Roman" w:hAnsi="Times New Roman"/>
          <w:sz w:val="18"/>
          <w:szCs w:val="18"/>
          <w:color w:val="auto"/>
        </w:rPr>
        <w:t>The financial statements do not include all the information and disclosures required in the annual financial statements, and should be read in conjunction with the Company’s annual financial statements for the year ended December 31, 2025.</w:t>
      </w:r>
    </w:p>
    <w:p>
      <w:pPr>
        <w:spacing w:after="0" w:line="54" w:lineRule="exact"/>
        <w:rPr>
          <w:sz w:val="20"/>
          <w:szCs w:val="20"/>
          <w:color w:val="auto"/>
        </w:rPr>
      </w:pPr>
    </w:p>
    <w:p>
      <w:pPr>
        <w:jc w:val="both"/>
        <w:ind w:left="444" w:right="140"/>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unaudited condensed consolidated financial statements include all normal recurring adjustments necessary for a fair statement of the results of operations, financial position and cash flows. The results of operations for the three months ended March 31, 2026 are not necessarily indicative of the results that can be expected for the Company’s fiscal year ending December 31, 2026.</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444" w:right="4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presented on the basis that it is a going concern. The Company has not generated any revenues from operations to date and does not expect to in the foreseeable future. As such, the Company has incurred recurring net losses, has an accumulated deficit totaling £251.2 million and cash flows used in operating activities of £3.2 million as of and for the three months ended March 31, 2026. The Company had £21.5 million of cash and cash equivalents at March 31, 2026.</w:t>
      </w:r>
    </w:p>
    <w:p>
      <w:pPr>
        <w:spacing w:after="0" w:line="72"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In reviewing the going concern assessment the Company’s board of directors have considered a going concern period of 12-months from the issuance of these financial statements. Based on its current operating budgets and development plans, the Company’s cash and cash equivalents on hand will be sufficient to fund its anticipated operations for the entirety of the going concern assessment period. The board of directors is therefore satisfied that it is appropriate to adopt the going concern basis of accounting in preparing the financial statements.</w:t>
      </w:r>
    </w:p>
    <w:p>
      <w:pPr>
        <w:sectPr>
          <w:pgSz w:w="11900" w:h="16838" w:orient="portrait"/>
          <w:cols w:equalWidth="0" w:num="1">
            <w:col w:w="11004"/>
          </w:cols>
          <w:pgMar w:left="436" w:top="266" w:right="459" w:bottom="1440" w:gutter="0" w:footer="0" w:header="0"/>
        </w:sectPr>
      </w:pPr>
    </w:p>
    <w:bookmarkStart w:id="9" w:name="page10"/>
    <w:bookmarkEnd w:id="9"/>
    <w:p>
      <w:pPr>
        <w:ind w:left="4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Company continues to incur losses, the transition to profitability is dependent upon the successful development, approval and commercialization of its product candidates and achieving a level of revenues adequate to support its cost structure. The Company may never achieve profitability, and unless and until it does, it will continue to need additional capital beyond the going concern assessment period. The Company may also need to raise additional funds if it chooses to expand its current development program. There can be no assurances, however, that additional funding will be available on acceptable terms.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Judgements and estimates</w:t>
      </w:r>
    </w:p>
    <w:p>
      <w:pPr>
        <w:spacing w:after="0" w:line="121"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The accounting estimates and judgements made by management in applying the Group’s accounting policies that have the most material effect on the amounts included within these financial statements were the same as those that applied to the annual financial statements for the year ended December 31, 2025. </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tax</w:t>
      </w:r>
    </w:p>
    <w:p>
      <w:pPr>
        <w:spacing w:after="0" w:line="250"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600" w:type="dxa"/>
            <w:vAlign w:val="bottom"/>
            <w:gridSpan w:val="3"/>
          </w:tcPr>
          <w:p>
            <w:pPr>
              <w:ind w:left="6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0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current period U.K.</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current period U.S.</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credit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410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The income tax credit recognized primarily represents the U.K. research and development tax credits. In the United Kingdom, the Company is able to surrender some of its losses for a cash rebate of up to 26.97% of expenditure related to eligible research and development projects.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4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4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4"/>
              </w:rPr>
              <w:t>    </w:t>
            </w:r>
          </w:p>
        </w:tc>
        <w:tc>
          <w:tcPr>
            <w:tcW w:w="124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xml:space="preserve">2026      </w:t>
            </w: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17"/>
        </w:trPr>
        <w:tc>
          <w:tcPr>
            <w:tcW w:w="6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3"/>
          </w:tcPr>
          <w:p>
            <w:pPr>
              <w:jc w:val="right"/>
              <w:ind w:right="61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0"/>
                <w:szCs w:val="10"/>
                <w:color w:val="auto"/>
              </w:rPr>
            </w:pPr>
          </w:p>
        </w:tc>
      </w:tr>
      <w:tr>
        <w:trPr>
          <w:trHeight w:val="173"/>
        </w:trPr>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income tax receivable</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 tax</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2,166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1,759</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w:t>
            </w: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0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2,168</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w:t>
            </w:r>
          </w:p>
        </w:tc>
        <w:tc>
          <w:tcPr>
            <w:tcW w:w="40" w:type="dxa"/>
            <w:vAlign w:val="bottom"/>
          </w:tcPr>
          <w:p>
            <w:pPr>
              <w:spacing w:after="0"/>
              <w:rPr>
                <w:sz w:val="20"/>
                <w:szCs w:val="20"/>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deferred tax asset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122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117</w:t>
            </w:r>
          </w:p>
        </w:tc>
      </w:tr>
    </w:tbl>
    <w:p>
      <w:pPr>
        <w:sectPr>
          <w:pgSz w:w="11900" w:h="16838" w:orient="portrait"/>
          <w:cols w:equalWidth="0" w:num="1">
            <w:col w:w="10920"/>
          </w:cols>
          <w:pgMar w:left="440" w:top="270"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Basic and diluted loss per ordinary share</w:t>
      </w:r>
    </w:p>
    <w:p>
      <w:pPr>
        <w:spacing w:after="0" w:line="250"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21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40" w:type="dxa"/>
            <w:vAlign w:val="bottom"/>
            <w:gridSpan w:val="3"/>
          </w:tcPr>
          <w:p>
            <w:pPr>
              <w:jc w:val="center"/>
              <w:ind w:left="601"/>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6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9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ordinary shares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20,809,855</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ordinary share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40" w:right="140"/>
        <w:spacing w:after="0" w:line="282" w:lineRule="auto"/>
        <w:rPr>
          <w:sz w:val="20"/>
          <w:szCs w:val="20"/>
          <w:color w:val="auto"/>
        </w:rPr>
      </w:pPr>
      <w:r>
        <w:rPr>
          <w:rFonts w:ascii="Times New Roman" w:cs="Times New Roman" w:eastAsia="Times New Roman" w:hAnsi="Times New Roman"/>
          <w:sz w:val="18"/>
          <w:szCs w:val="18"/>
          <w:color w:val="auto"/>
        </w:rPr>
        <w:t>Basic loss per ordinary share is calculated by dividing the loss for the period attributable to the equity holders of the Company by the weighted average number of ordinary shares outstanding during the period.</w:t>
      </w:r>
    </w:p>
    <w:p>
      <w:pPr>
        <w:spacing w:after="0" w:line="5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potential ordinary shares issued through equity settled transactions were considered to be anti-dilutive as they would have decreased the loss per ordinary share and were therefore excluded from the calculation of diluted loss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comprise patents with a carrying value of £2.2 million as of March 31, 2026 (as of December 31, 2025: £2.2 million).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acquired intangible assets with a cost of £0.1 million in relation to patents.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20" w:type="dxa"/>
            <w:vAlign w:val="bottom"/>
          </w:tcPr>
          <w:p>
            <w:pPr>
              <w:spacing w:after="0"/>
              <w:rPr>
                <w:sz w:val="15"/>
                <w:szCs w:val="15"/>
                <w:color w:val="auto"/>
              </w:rPr>
            </w:pPr>
          </w:p>
        </w:tc>
        <w:tc>
          <w:tcPr>
            <w:tcW w:w="9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17"/>
        </w:trPr>
        <w:tc>
          <w:tcPr>
            <w:tcW w:w="6420" w:type="dxa"/>
            <w:vAlign w:val="bottom"/>
          </w:tcPr>
          <w:p>
            <w:pPr>
              <w:spacing w:after="0"/>
              <w:rPr>
                <w:sz w:val="10"/>
                <w:szCs w:val="10"/>
                <w:color w:val="auto"/>
              </w:rPr>
            </w:pPr>
          </w:p>
        </w:tc>
        <w:tc>
          <w:tcPr>
            <w:tcW w:w="1900" w:type="dxa"/>
            <w:vAlign w:val="bottom"/>
            <w:gridSpan w:val="2"/>
          </w:tcPr>
          <w:p>
            <w:pPr>
              <w:jc w:val="right"/>
              <w:ind w:right="44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0"/>
                <w:szCs w:val="10"/>
                <w:color w:val="auto"/>
              </w:rPr>
            </w:pPr>
          </w:p>
        </w:tc>
      </w:tr>
      <w:tr>
        <w:trPr>
          <w:trHeight w:val="173"/>
        </w:trPr>
        <w:tc>
          <w:tcPr>
            <w:tcW w:w="642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21,529</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24,251</w:t>
            </w:r>
          </w:p>
        </w:tc>
      </w:tr>
    </w:tbl>
    <w:p>
      <w:pPr>
        <w:spacing w:after="0" w:line="346"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at banks with deposit maturity terms of three months or less. Cash at banks earns interest at fixed or variable rates based on the terms agreed for each account.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payments</w:t>
      </w:r>
    </w:p>
    <w:p>
      <w:pPr>
        <w:spacing w:after="0" w:line="121"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The Company has six share-based payment plans for employees, directors and consultants. The share options granted will be settled in equity. If the Company determines, and at its discretion, an arrangement may be made under the 2020 Long-Term Incentive Plan to substitute the right to acquire shares with a cash alternative of equivalent value. Options granted under each of the six plans have a maximum life of 10 years.</w:t>
      </w:r>
    </w:p>
    <w:p>
      <w:pPr>
        <w:spacing w:after="0" w:line="68"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color w:val="auto"/>
        </w:rPr>
        <w:t>As detailed in the table below, during the three months ended March 31, 2026, 3,851 million share options were granted under the 2020 Long-Term Incentive Plan (three months ended March 31, 2025: nil). Options granted under this plan will vest if the option holder remains under respective contract of employment or contract of service for the agreed vesting period. The share options granted in the period will vest over a period of up to four years.</w:t>
      </w:r>
    </w:p>
    <w:p>
      <w:pPr>
        <w:spacing w:after="0" w:line="72" w:lineRule="exact"/>
        <w:rPr>
          <w:sz w:val="20"/>
          <w:szCs w:val="20"/>
          <w:color w:val="auto"/>
        </w:rPr>
      </w:pPr>
    </w:p>
    <w:p>
      <w:pPr>
        <w:jc w:val="both"/>
        <w:ind w:left="440" w:right="80"/>
        <w:spacing w:after="0" w:line="266" w:lineRule="auto"/>
        <w:rPr>
          <w:sz w:val="20"/>
          <w:szCs w:val="20"/>
          <w:color w:val="auto"/>
        </w:rPr>
      </w:pPr>
      <w:r>
        <w:rPr>
          <w:rFonts w:ascii="Times New Roman" w:cs="Times New Roman" w:eastAsia="Times New Roman" w:hAnsi="Times New Roman"/>
          <w:sz w:val="18"/>
          <w:szCs w:val="18"/>
          <w:color w:val="auto"/>
        </w:rPr>
        <w:t>The fair values of options granted were determined using the Black-Scholes model that takes into account factors specific to the share incentive plan such as the assumption that the options are exercised at a point in time of up to two years after vesting. This has been incorporated into the measurement by means of actuarial modelling.</w:t>
      </w:r>
    </w:p>
    <w:p>
      <w:pPr>
        <w:sectPr>
          <w:pgSz w:w="11900" w:h="16838" w:orient="portrait"/>
          <w:cols w:equalWidth="0" w:num="1">
            <w:col w:w="10860"/>
          </w:cols>
          <w:pgMar w:left="440" w:top="266" w:right="599" w:bottom="1440" w:gutter="0" w:footer="0" w:header="0"/>
        </w:sectPr>
      </w:pPr>
    </w:p>
    <w:bookmarkStart w:id="11" w:name="page12"/>
    <w:bookmarkEnd w:id="11"/>
    <w:tbl>
      <w:tblPr>
        <w:tblLayout w:type="fixed"/>
        <w:tblInd w:w="884" w:type="dxa"/>
        <w:tblCellMar>
          <w:top w:w="0" w:type="dxa"/>
          <w:left w:w="0" w:type="dxa"/>
          <w:bottom w:w="0" w:type="dxa"/>
          <w:right w:w="0" w:type="dxa"/>
        </w:tblCellMar>
      </w:tblPr>
      <w:tr>
        <w:trPr>
          <w:trHeight w:val="19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Jan-14-2026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Jan-14-2026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Jan-14-2026</w:t>
            </w: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Vesting dates</w:t>
            </w:r>
          </w:p>
        </w:tc>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Jan-14-2026</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Jan-14-2027</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Jan-14-2027</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Jan-14-2028</w:t>
            </w:r>
          </w:p>
        </w:tc>
      </w:tr>
      <w:tr>
        <w:trPr>
          <w:trHeight w:val="216"/>
        </w:trPr>
        <w:tc>
          <w:tcPr>
            <w:tcW w:w="7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Jan-14-2029</w:t>
            </w:r>
          </w:p>
        </w:tc>
      </w:tr>
      <w:tr>
        <w:trPr>
          <w:trHeight w:val="216"/>
        </w:trPr>
        <w:tc>
          <w:tcPr>
            <w:tcW w:w="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Jan-14-2030</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Volatility</w:t>
            </w:r>
            <w:r>
              <w:rPr>
                <w:rFonts w:ascii="Times New Roman" w:cs="Times New Roman" w:eastAsia="Times New Roman" w:hAnsi="Times New Roman"/>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193.02%</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Risk-free investment rate</w:t>
            </w:r>
            <w:r>
              <w:rPr>
                <w:rFonts w:ascii="Times New Roman" w:cs="Times New Roman" w:eastAsia="Times New Roman" w:hAnsi="Times New Roman"/>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Fair value of option at grant date</w:t>
            </w:r>
            <w:r>
              <w:rPr>
                <w:rFonts w:ascii="Times New Roman" w:cs="Times New Roman" w:eastAsia="Times New Roman" w:hAnsi="Times New Roman"/>
                <w:sz w:val="25"/>
                <w:szCs w:val="25"/>
                <w:color w:val="auto"/>
                <w:vertAlign w:val="superscript"/>
              </w:rPr>
              <w:t>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2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date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Jan-14-2036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Jan-14-2036</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Expected option life (years)</w:t>
            </w:r>
            <w:r>
              <w:rPr>
                <w:rFonts w:ascii="Times New Roman" w:cs="Times New Roman" w:eastAsia="Times New Roman" w:hAnsi="Times New Roman"/>
                <w:sz w:val="25"/>
                <w:szCs w:val="25"/>
                <w:color w:val="auto"/>
                <w:vertAlign w:val="superscript"/>
              </w:rPr>
              <w:t>1</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1,951,153,811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174,109,121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1,324,308,581</w:t>
            </w:r>
          </w:p>
        </w:tc>
        <w:tc>
          <w:tcPr>
            <w:tcW w:w="200" w:type="dxa"/>
            <w:vAlign w:val="bottom"/>
            <w:shd w:val="clear" w:color="auto" w:fill="CCEEFF"/>
          </w:tcPr>
          <w:p>
            <w:pPr>
              <w:spacing w:after="0"/>
              <w:rPr>
                <w:sz w:val="18"/>
                <w:szCs w:val="18"/>
                <w:color w:val="auto"/>
              </w:rPr>
            </w:pPr>
          </w:p>
        </w:tc>
      </w:tr>
      <w:tr>
        <w:trPr>
          <w:trHeight w:val="41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Jan-14-2026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Jan-14-2026</w:t>
            </w: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Vesting dates</w:t>
            </w:r>
          </w:p>
        </w:tc>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Jan-14-2026</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Jan-14-2027</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Jan-14-2028</w:t>
            </w:r>
          </w:p>
        </w:tc>
      </w:tr>
      <w:tr>
        <w:trPr>
          <w:trHeight w:val="216"/>
        </w:trPr>
        <w:tc>
          <w:tcPr>
            <w:tcW w:w="7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Jan-14-2029</w:t>
            </w:r>
          </w:p>
        </w:tc>
      </w:tr>
      <w:tr>
        <w:trPr>
          <w:trHeight w:val="216"/>
        </w:trPr>
        <w:tc>
          <w:tcPr>
            <w:tcW w:w="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Jan-14-2030</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Volatility</w:t>
            </w:r>
            <w:r>
              <w:rPr>
                <w:rFonts w:ascii="Times New Roman" w:cs="Times New Roman" w:eastAsia="Times New Roman" w:hAnsi="Times New Roman"/>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175.64%</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Risk-free investment rate</w:t>
            </w:r>
            <w:r>
              <w:rPr>
                <w:rFonts w:ascii="Times New Roman" w:cs="Times New Roman" w:eastAsia="Times New Roman" w:hAnsi="Times New Roman"/>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Fair value of option at grant date</w:t>
            </w:r>
            <w:r>
              <w:rPr>
                <w:rFonts w:ascii="Times New Roman" w:cs="Times New Roman" w:eastAsia="Times New Roman" w:hAnsi="Times New Roman"/>
                <w:sz w:val="25"/>
                <w:szCs w:val="25"/>
                <w:color w:val="auto"/>
                <w:vertAlign w:val="superscript"/>
              </w:rPr>
              <w:t>1</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date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Jan-14-2036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Jan-14-2036</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Expected option life (years)</w:t>
            </w:r>
            <w:r>
              <w:rPr>
                <w:rFonts w:ascii="Times New Roman" w:cs="Times New Roman" w:eastAsia="Times New Roman" w:hAnsi="Times New Roman"/>
                <w:sz w:val="25"/>
                <w:szCs w:val="25"/>
                <w:color w:val="auto"/>
                <w:vertAlign w:val="superscript"/>
              </w:rPr>
              <w:t>1</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313,694,177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87,871,006</w:t>
            </w:r>
          </w:p>
        </w:tc>
        <w:tc>
          <w:tcPr>
            <w:tcW w:w="200" w:type="dxa"/>
            <w:vAlign w:val="bottom"/>
            <w:shd w:val="clear" w:color="auto" w:fill="CCEEFF"/>
          </w:tcPr>
          <w:p>
            <w:pPr>
              <w:spacing w:after="0"/>
              <w:rPr>
                <w:sz w:val="18"/>
                <w:szCs w:val="18"/>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for the options granted</w:t>
      </w:r>
    </w:p>
    <w:p>
      <w:pPr>
        <w:spacing w:after="0" w:line="225"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the Company recognized £1.9 million of share-based payment expense in the statement of operations (three months ended March 31, 2025: £0.3 million).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Share capital and share premium</w:t>
      </w:r>
    </w:p>
    <w:p>
      <w:pPr>
        <w:spacing w:after="0" w:line="23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March 31,  </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20" w:type="dxa"/>
            <w:vAlign w:val="bottom"/>
          </w:tcPr>
          <w:p>
            <w:pPr>
              <w:spacing w:after="0"/>
              <w:rPr>
                <w:sz w:val="15"/>
                <w:szCs w:val="15"/>
                <w:color w:val="auto"/>
              </w:rPr>
            </w:pPr>
          </w:p>
        </w:tc>
        <w:tc>
          <w:tcPr>
            <w:tcW w:w="28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17"/>
        </w:trPr>
        <w:tc>
          <w:tcPr>
            <w:tcW w:w="4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98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0"/>
                <w:szCs w:val="10"/>
                <w:color w:val="auto"/>
              </w:rPr>
            </w:pPr>
          </w:p>
        </w:tc>
      </w:tr>
      <w:tr>
        <w:trPr>
          <w:trHeight w:val="173"/>
        </w:trPr>
        <w:tc>
          <w:tcPr>
            <w:tcW w:w="4320" w:type="dxa"/>
            <w:vAlign w:val="bottom"/>
          </w:tcPr>
          <w:p>
            <w:pPr>
              <w:spacing w:after="0"/>
              <w:rPr>
                <w:sz w:val="15"/>
                <w:szCs w:val="15"/>
                <w:color w:val="auto"/>
              </w:rPr>
            </w:pPr>
          </w:p>
        </w:tc>
        <w:tc>
          <w:tcPr>
            <w:tcW w:w="284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0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175,246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175,246</w:t>
            </w:r>
          </w:p>
        </w:tc>
      </w:tr>
      <w:tr>
        <w:trPr>
          <w:trHeight w:val="27"/>
        </w:trPr>
        <w:tc>
          <w:tcPr>
            <w:tcW w:w="432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89"/>
              </w:rPr>
              <w:t>      189,586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4"/>
              </w:rPr>
              <w:t>      189,586</w:t>
            </w:r>
          </w:p>
        </w:tc>
      </w:tr>
      <w:tr>
        <w:trPr>
          <w:trHeight w:val="20"/>
        </w:trPr>
        <w:tc>
          <w:tcPr>
            <w:tcW w:w="432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4"/>
        </w:trPr>
        <w:tc>
          <w:tcPr>
            <w:tcW w:w="4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2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3"/>
        </w:trPr>
        <w:tc>
          <w:tcPr>
            <w:tcW w:w="4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2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 comprises:</w:t>
            </w:r>
          </w:p>
        </w:tc>
        <w:tc>
          <w:tcPr>
            <w:tcW w:w="202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 £0.0004 each</w:t>
            </w:r>
          </w:p>
        </w:tc>
        <w:tc>
          <w:tcPr>
            <w:tcW w:w="2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20,809,855</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20,809,855</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shares of £0.0004 each</w:t>
            </w:r>
          </w:p>
        </w:tc>
        <w:tc>
          <w:tcPr>
            <w:tcW w:w="2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15,040,466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15,040,466</w:t>
            </w:r>
          </w:p>
        </w:tc>
      </w:tr>
      <w:tr>
        <w:trPr>
          <w:trHeight w:val="223"/>
        </w:trPr>
        <w:tc>
          <w:tcPr>
            <w:tcW w:w="4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35,850,321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35,850,321</w:t>
            </w:r>
          </w:p>
        </w:tc>
        <w:tc>
          <w:tcPr>
            <w:tcW w:w="40" w:type="dxa"/>
            <w:vAlign w:val="bottom"/>
          </w:tcPr>
          <w:p>
            <w:pPr>
              <w:spacing w:after="0"/>
              <w:rPr>
                <w:sz w:val="19"/>
                <w:szCs w:val="19"/>
                <w:color w:val="auto"/>
              </w:rPr>
            </w:pPr>
          </w:p>
        </w:tc>
      </w:tr>
    </w:tbl>
    <w:p>
      <w:pPr>
        <w:sectPr>
          <w:pgSz w:w="11900" w:h="16838" w:orient="portrait"/>
          <w:cols w:equalWidth="0" w:num="1">
            <w:col w:w="10964"/>
          </w:cols>
          <w:pgMar w:left="436" w:top="263"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Events after the reporting period</w:t>
      </w:r>
    </w:p>
    <w:p>
      <w:pPr>
        <w:spacing w:after="0" w:line="121" w:lineRule="exact"/>
        <w:rPr>
          <w:sz w:val="20"/>
          <w:szCs w:val="20"/>
          <w:color w:val="auto"/>
        </w:rPr>
      </w:pPr>
    </w:p>
    <w:p>
      <w:pPr>
        <w:ind w:left="440" w:right="400"/>
        <w:spacing w:after="0" w:line="266" w:lineRule="auto"/>
        <w:rPr>
          <w:sz w:val="20"/>
          <w:szCs w:val="20"/>
          <w:color w:val="auto"/>
        </w:rPr>
      </w:pPr>
      <w:r>
        <w:rPr>
          <w:rFonts w:ascii="Times New Roman" w:cs="Times New Roman" w:eastAsia="Times New Roman" w:hAnsi="Times New Roman"/>
          <w:sz w:val="18"/>
          <w:szCs w:val="18"/>
          <w:color w:val="auto"/>
        </w:rPr>
        <w:t>On May 6, 2026, the Company distributed a notice of its annual general meeting to be held on June 8, 2026 (the “AGM”). The purpose of the AGM is for the Company’s ordinary shareholders to consider and vote upon, and if thought fit, pass and approve a number of resolutions, including that:</w:t>
      </w:r>
    </w:p>
    <w:p>
      <w:pPr>
        <w:spacing w:after="0" w:line="81" w:lineRule="exact"/>
        <w:rPr>
          <w:sz w:val="20"/>
          <w:szCs w:val="20"/>
          <w:color w:val="auto"/>
        </w:rPr>
      </w:pPr>
    </w:p>
    <w:p>
      <w:pPr>
        <w:ind w:left="1420" w:right="28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15,040,465,803 deferred shares of £0.0004 each in the issued share capital of the Company be and is sub-divided into 100 deferred shares of £0.000004; and</w:t>
      </w:r>
    </w:p>
    <w:p>
      <w:pPr>
        <w:spacing w:after="0" w:line="67"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20,809,854,947 ordinary shares of £0.0004 each in the issued share capital of the Company be and is sub-divided into and redesignated as one ordinary share of £0.000004, having the same rights and being subject to the same restrictions as the existing ordinary shares in the capital of the Company, and 99 deferred shares of £0.000004 each.</w:t>
      </w:r>
    </w:p>
    <w:p>
      <w:pPr>
        <w:spacing w:after="0" w:line="68" w:lineRule="exact"/>
        <w:rPr>
          <w:sz w:val="20"/>
          <w:szCs w:val="20"/>
          <w:color w:val="auto"/>
        </w:rPr>
      </w:pPr>
    </w:p>
    <w:p>
      <w:pPr>
        <w:ind w:left="440" w:right="480"/>
        <w:spacing w:after="0" w:line="312" w:lineRule="auto"/>
        <w:rPr>
          <w:sz w:val="20"/>
          <w:szCs w:val="20"/>
          <w:color w:val="auto"/>
        </w:rPr>
      </w:pPr>
      <w:r>
        <w:rPr>
          <w:rFonts w:ascii="Times New Roman" w:cs="Times New Roman" w:eastAsia="Times New Roman" w:hAnsi="Times New Roman"/>
          <w:sz w:val="17"/>
          <w:szCs w:val="17"/>
          <w:color w:val="auto"/>
        </w:rPr>
        <w:t>Therefore, on the passing of these resolutions, the Company’s issued share capital shall be comprised of 20,809,854,947 ordinary shares and 3,564,222,220,053 deferred shares of £0.000004 each. The deferred shares continue to have no economic value, dividend or voting rights.</w:t>
      </w:r>
    </w:p>
    <w:p>
      <w:pPr>
        <w:sectPr>
          <w:pgSz w:w="11900" w:h="16838" w:orient="portrait"/>
          <w:cols w:equalWidth="0" w:num="1">
            <w:col w:w="11020"/>
          </w:cols>
          <w:pgMar w:left="440" w:top="266"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unaudited condensed consolidated financial statements and the related notes to those statements included as Exhibit 99.1 to this Report on Form 6-K submitted to the Securities and Exchange Commission, or the SEC, on May 14, 2026. We also recommend that you read our discussion and analysis of financial condition and results of operations together with our audited financial statements and the notes thereto, and the section entitled “Risk Factors”, each of which appear in our Annual Report on Form 20-F for the year ended December 31, 2025 filed with the SEC on March 19, 2026 (the “Annual Report”), as well as the “Supplemental Risk Factors” filed with our Form 6-Ks from time to time with the SEC.</w:t>
      </w:r>
    </w:p>
    <w:p>
      <w:pPr>
        <w:spacing w:after="0" w:line="18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We present our unaudited condensed consolidated financial statements in pounds sterling and in accordance with International Accounting Standard 34, “Interim Financial Reporting,” or IAS 34, which may differ in material respects from generally accepted accounting principles in other jurisdictions, including generally accepted accounting principles in the United States, or U.S. GAAP.</w:t>
      </w:r>
    </w:p>
    <w:p>
      <w:pPr>
        <w:spacing w:after="0" w:line="17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all references to “NuCana,” the “Company,” “we,” “our,” “us” or similar terms refer to NuCana plc and its consolidated subsidiaries.</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are forward-looking statements.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the risks and uncertainties set forth in the “Risk Factors” section of our Annual Report and any subsequent reports that we file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NuCana’s pipeline includes NUC-7738 and NUC-3373. NUC-7738 is a novel anti-cancer agent that disrupts RNA polyadenylation, profoundly impacts gene expression in cancer cells and targets multiple aspects of the tumor microenvironment. NUC-7738 is in the Phase 2 part of a Phase 1/2 trial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trial (NuTide:303) of NUC-3373 in combination with the PD-1 inhibitor pembrolizumab for patients with advanced solid tumors and in combination with docetaxel for patients with lung cancer, and NuCana is currently evaluating further characterization of mode of action and target indications for further clinical studies of NUC-3373.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do not have any approved products. Accordingly, we have not generated any revenue, and we do not expect to generate any revenue from the sale of any products unless and until we obtain regulatory approvals for, and commercialize any of, our product candidates. In the future, we will seek to generate revenue primarily from product sales and, potentially, regional or global collaborations with strategic partners.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expenses and administrative expenses. Personnel costs, including salaries, benefits, bonuses and share-based payment expense, comprise a component of each of these expense categories. We allocate expenses associated with personnel costs based on the function performed by the respective employees.</w:t>
      </w:r>
    </w:p>
    <w:p>
      <w:pPr>
        <w:sectPr>
          <w:pgSz w:w="11900" w:h="16838" w:orient="portrait"/>
          <w:cols w:equalWidth="0" w:num="1">
            <w:col w:w="11020"/>
          </w:cols>
          <w:pgMar w:left="440" w:top="11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largest component of our total operating expenses since our inception has been costs related to our research and development activities, including the preclinical and clinical development of our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 Our research and development expense primarily consists of:</w:t>
      </w:r>
    </w:p>
    <w:p>
      <w:pPr>
        <w:spacing w:after="0" w:line="131" w:lineRule="exact"/>
        <w:rPr>
          <w:sz w:val="20"/>
          <w:szCs w:val="20"/>
          <w:color w:val="auto"/>
        </w:rPr>
      </w:pPr>
    </w:p>
    <w:p>
      <w:pPr>
        <w:ind w:left="9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contract research organizations, or CROs, and investigative sites that conduct preclinical studies and clinical trials;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active pharmaceutical ingredients and drug products for preclinical studies and clinical trials;</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personnel-related costs, including bonuses, benefits and any share-based payment expense, for our personnel performing research and development activities or managing those activities that have been outsourced;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 parties who support our product candidate development;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maintaining and defending patents;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in seeking regulatory approval for our product candidates;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our license agreements.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ProTides is highly uncertain. Product candidates in later stages of clinical development generally have higher development costs than those in earlier stages of clinical development, primarily due to the increased size and duration of later stage clinical trials. However, we do not believe that it is possible at this time to accurately project total program specific expenses through commercialization. We are also unable to predict when, if ever, material net cash inflows will commence from our product candidates to offset these expenses. Our expenditures on current and future preclinical and clinical development programs are subject to numerous uncertainties in timing and cost to completion.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including:</w:t>
      </w:r>
    </w:p>
    <w:p>
      <w:pPr>
        <w:spacing w:after="0" w:line="131" w:lineRule="exact"/>
        <w:rPr>
          <w:sz w:val="20"/>
          <w:szCs w:val="20"/>
          <w:color w:val="auto"/>
        </w:rPr>
      </w:pPr>
    </w:p>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expenses of our ongoing and future clinical trials, preclinical studies and research and development activities;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additional clinical trials or preclinical studies requested by regulatory agencies;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uncertainties in clinical trial enrollment rates or drop-out or discontinuation rates of patients;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drug development companies in, and the related expense of, identifying and enrolling patients in our clinical trials and contracting with third-party manufacturers for the production of the drug product needed for our clinical trials;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requiring payments under in-licensing agreements;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government regulation;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regulatory approvals;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patent claims and other intellectual property rights;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any of our product candidates, if approved.</w:t>
      </w:r>
    </w:p>
    <w:p>
      <w:pPr>
        <w:spacing w:after="0" w:line="225"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We track research and development expenses on a program-by-program basis for both clinical-stage and preclinical product candidates. Where appropriate, manufacturing and non-clinical research and development expenses are assigned or allocated to individual product candidates.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Administrative expenses consist of personnel costs, depreciation, amortization and other expenses for outside professional services, including legal, audit and accounting services. Personnel costs consist of salaries, bonuses, benefits and share-based payment expense. Other administrative expenses include office related costs, professional fees and costs of our information systems. We anticipate that our administrative expenses will continue to increase in the future as we increase our headcount to support our continued research and development and potential commercialization of our product candidates. We also incur expenses as a public company, including expenses related to compliance with the rules and regulations of the SEC and Nasdaq, additional insurance expenses, and expenses related to investor relations and other administrative and professional services.</w:t>
      </w:r>
    </w:p>
    <w:p>
      <w:pPr>
        <w:sectPr>
          <w:pgSz w:w="11900" w:h="16838" w:orient="portrait"/>
          <w:cols w:equalWidth="0" w:num="1">
            <w:col w:w="10920"/>
          </w:cols>
          <w:pgMar w:left="440" w:top="266"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Foreign Exchange (Losses) Gains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foreign exchange (losses) gains primarily relates to cash held in U.S. dollars.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relates to interest earned on our cash and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corporate taxation in the United Kingdom and our wholly owned U.S. subsidiary, NuCana, Inc., is subject to corporate taxation in the United States. Due to the nature of our business, we have generated losses in the United Kingdom since our inception. Our income tax credit recognized represents the sum of the research and development tax credits recoverable in the United Kingdom and in the United States, and income tax payable in the United States.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activities, we benefit from the U.K. and U.S. research and development tax credit regimes. In the United Kingdom, we are able to surrender some of our losses for a cash rebate of up to 26.97% of eligible expenditures on qualifying research and development projects incurred. In the United States, we are able to offset the research and development credits against corporation tax payable. Our qualifying expenditures in the United Kingdom largely comprise clinical trial and manufacturing costs, employment costs for relevant staff and consumables incurred as part of research and development projects. In the United Kingdom, where we receive the larger proportion of the research and development credits, certain subcontracted qualifying research and development expenditures are eligible for a cash rebate of up to 17.53%. A large proportion of costs relating to our research and development, clinical trials and manufacturing activities are currently eligible for inclusion within these tax credit cash rebate claims. Research and development expenditure on overseas subcontractors is not eligible unless certain criteria are met. Overseas subcontractor expenditure is only eligible when there are conditions present overseas which are not present in the United Kingdom and it would be ‘wholly unreasonable’ to replicate those conditions within the United Kingdom.</w:t>
      </w:r>
    </w:p>
    <w:p>
      <w:pPr>
        <w:spacing w:after="0" w:line="1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claim research and development tax credits in the United Kingdom in the future under the current research and development tax credit scheme because we may no longer qualify as a R&amp;D-intensive loss-making small or medium-sized company. However, in that scenario, we may be able to file under the merged scheme R&amp;D expenditure credit.</w:t>
      </w:r>
    </w:p>
    <w:p>
      <w:pPr>
        <w:sectPr>
          <w:pgSz w:w="11900" w:h="16838" w:orient="portrait"/>
          <w:cols w:equalWidth="0" w:num="1">
            <w:col w:w="10980"/>
          </w:cols>
          <w:pgMar w:left="440" w:top="266"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2026 and 2025.</w:t>
      </w:r>
    </w:p>
    <w:p>
      <w:pPr>
        <w:spacing w:after="0" w:line="24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56"/>
        </w:trPr>
        <w:tc>
          <w:tcPr>
            <w:tcW w:w="6280" w:type="dxa"/>
            <w:vAlign w:val="bottom"/>
          </w:tcPr>
          <w:p>
            <w:pPr>
              <w:spacing w:after="0"/>
              <w:rPr>
                <w:sz w:val="13"/>
                <w:szCs w:val="13"/>
                <w:color w:val="auto"/>
              </w:rPr>
            </w:pPr>
          </w:p>
        </w:tc>
        <w:tc>
          <w:tcPr>
            <w:tcW w:w="760" w:type="dxa"/>
            <w:vAlign w:val="bottom"/>
            <w:tcBorders>
              <w:bottom w:val="single" w:sz="8" w:color="auto"/>
            </w:tcBorders>
          </w:tcPr>
          <w:p>
            <w:pPr>
              <w:jc w:val="right"/>
              <w:ind w:right="156"/>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3"/>
              <w:spacing w:after="0" w:line="156"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1440" w:type="dxa"/>
            <w:vAlign w:val="bottom"/>
            <w:gridSpan w:val="3"/>
          </w:tcPr>
          <w:p>
            <w:pPr>
              <w:jc w:val="center"/>
              <w:ind w:left="476"/>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440" w:type="dxa"/>
            <w:vAlign w:val="bottom"/>
            <w:gridSpan w:val="3"/>
          </w:tcPr>
          <w:p>
            <w:pPr>
              <w:jc w:val="center"/>
              <w:ind w:left="476"/>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(3,213)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gains (losses)</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(expense):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reclassified subsequently to profit or loss: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(3,847)</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£3.2 million for the three months ended March 31, 2026 as compared to £1.7 million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increased by £1.1 million primarily due to options granted in the first quarter of 2026;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costs increased by £0.4 million principally due to higher translational medicine and clinical costs.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gives a breakdown of the research and development costs incurred by product candidate for the three months ended March 31, 2026 and 2025:</w:t>
      </w:r>
    </w:p>
    <w:p>
      <w:pPr>
        <w:spacing w:after="0" w:line="18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56"/>
        </w:trPr>
        <w:tc>
          <w:tcPr>
            <w:tcW w:w="6220" w:type="dxa"/>
            <w:vAlign w:val="bottom"/>
          </w:tcPr>
          <w:p>
            <w:pPr>
              <w:spacing w:after="0"/>
              <w:rPr>
                <w:sz w:val="13"/>
                <w:szCs w:val="13"/>
                <w:color w:val="auto"/>
              </w:rPr>
            </w:pPr>
          </w:p>
        </w:tc>
        <w:tc>
          <w:tcPr>
            <w:tcW w:w="760" w:type="dxa"/>
            <w:vAlign w:val="bottom"/>
            <w:tcBorders>
              <w:bottom w:val="single" w:sz="8" w:color="auto"/>
            </w:tcBorders>
          </w:tcPr>
          <w:p>
            <w:pPr>
              <w:jc w:val="right"/>
              <w:ind w:right="157"/>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5"/>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220" w:type="dxa"/>
            <w:vAlign w:val="bottom"/>
          </w:tcPr>
          <w:p>
            <w:pPr>
              <w:spacing w:after="0"/>
              <w:rPr>
                <w:sz w:val="10"/>
                <w:szCs w:val="10"/>
                <w:color w:val="auto"/>
              </w:rPr>
            </w:pPr>
          </w:p>
        </w:tc>
        <w:tc>
          <w:tcPr>
            <w:tcW w:w="1520" w:type="dxa"/>
            <w:vAlign w:val="bottom"/>
            <w:gridSpan w:val="3"/>
          </w:tcPr>
          <w:p>
            <w:pPr>
              <w:ind w:left="6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NUC-7738</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2,399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NUC-3373</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Acelarin</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3,213</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Administrative expenses were £1.6 million for the three months ended March 31, 2026 as compared to £1.1 million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increased by £0.6 million primarily due to options granted in the first quarter of 2026;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administrative expenses decreased by £0.1 million.</w:t>
      </w:r>
    </w:p>
    <w:p>
      <w:pPr>
        <w:sectPr>
          <w:pgSz w:w="11900" w:h="16838" w:orient="portrait"/>
          <w:cols w:equalWidth="0" w:num="1">
            <w:col w:w="10960"/>
          </w:cols>
          <w:pgMar w:left="440" w:top="266"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Foreign Exchange Gains (Losses)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reported a net foreign exchange gain of £0.4 million as compared to a net foreign exchange loss of £0.1 million for the three months ended March 31, 2025. In the three months ended March 31, 2026, the gain arose from cash balances held in U.S. dollars and the U.S. dollar appreciating relative to the U.K. pound sterling. Conversely in the three months ended March 31, 2025, the loss arose from cash balances held in U.S. dollars and the U.S. dollar depreciating relative to the U.K. pound sterling.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Finance income represents bank interest and was £0.1 million for the three months ended March 31, 2026 and £25,000 for the three months ended March 31, 2025. The increase in bank interest resulted from higher cash deposits.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income tax credit for the three months ended March 31, 2026, which is largely comprised of U.K. research and development tax credits, amounted to £0.4 million as compared to £0.4 million for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negative operating cash flows. We anticipate that we will continue to incur losses for at least the next several years. As a result, we will need additional capital to fund our operations, which we may obtain from additional equity financings, debt financings, research funding, collaborations, contract and grant revenue or other sources.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we had cash and cash equivalents of £21.5 million and £24.3 million, respectively. We do not currently have any approved products and have never generated any revenue from product sales. To date we have financed our operations primarily through the issuances of our equity securities. We expect that our existing cash and cash equivalents will be sufficient to meet our anticipated cash requirements into 2029. However, we may need to raise additional funds if we choose to expand our current development program.</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2025, we entered into an ATM sales agreement with A.G.P./Alliance Global Partners, or A.G.P., and Laidlaw &amp; Company (UK) Ltd., or Laidlaw, pursuant to which we may periodically sell ADSs having an aggregate offering price of up to $100.0 million through A.G.P. and Laidlaw acting as our agents. Sales of our ADSs pursuant to this ATM program are subject to certain conditions specified in the sales agreement. Sales under the ATM program are registered on a shelf registration statement on Form F-3 that we filed with the SEC in June 2025, and which permits the offering, issuance and sale by us of up to a maximum aggregate offering price of $150.0 million of our securities, inclusive of our ADSs sold under the ATM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cash flows for the three months ended March 31, 2026 and 2025.</w:t>
      </w:r>
    </w:p>
    <w:p>
      <w:pPr>
        <w:spacing w:after="0" w:line="24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56"/>
        </w:trPr>
        <w:tc>
          <w:tcPr>
            <w:tcW w:w="6280" w:type="dxa"/>
            <w:vAlign w:val="bottom"/>
          </w:tcPr>
          <w:p>
            <w:pPr>
              <w:spacing w:after="0"/>
              <w:rPr>
                <w:sz w:val="13"/>
                <w:szCs w:val="13"/>
                <w:color w:val="auto"/>
              </w:rPr>
            </w:pPr>
          </w:p>
        </w:tc>
        <w:tc>
          <w:tcPr>
            <w:tcW w:w="760" w:type="dxa"/>
            <w:vAlign w:val="bottom"/>
            <w:tcBorders>
              <w:bottom w:val="single" w:sz="8" w:color="auto"/>
            </w:tcBorders>
          </w:tcPr>
          <w:p>
            <w:pPr>
              <w:jc w:val="right"/>
              <w:ind w:right="160"/>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6"/>
              <w:spacing w:after="0" w:line="156"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1440" w:type="dxa"/>
            <w:vAlign w:val="bottom"/>
            <w:gridSpan w:val="3"/>
          </w:tcPr>
          <w:p>
            <w:pPr>
              <w:jc w:val="center"/>
              <w:ind w:left="48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440" w:type="dxa"/>
            <w:vAlign w:val="bottom"/>
            <w:gridSpan w:val="3"/>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(3,182)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(used in) investing activities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from financing activities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£3.2 million for the three months ended March 31, 2026 as compared to £3.1 million for the three months ended March 31, 2025, a net increase in cash outflows of £0.1 million.</w:t>
      </w:r>
    </w:p>
    <w:p>
      <w:pPr>
        <w:sectPr>
          <w:pgSz w:w="11900" w:h="16838" w:orient="portrait"/>
          <w:cols w:equalWidth="0" w:num="1">
            <w:col w:w="10960"/>
          </w:cols>
          <w:pgMar w:left="440" w:top="266"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three months ended March 31, 2026:</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cash outflows were higher by £0.4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outflows were £0.4 million as compared to £1.7 million in the three months ended March 31, 2025; and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refund was received in the three months ended March 31, 2026 compared to a receipt of £1.0 million in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from investing activities was £0.1 million for the three months ended March 31, 2026 as compared to net cash used in investing activities of £11,000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interest income was higher by £0.1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£7,000 for the three months ended March 31, 2026 as compared to net cash from financing activities of £0.4 million for the three months ended March 31, 2025 primarily reflecting £nil proceeds from the issue of share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achieved profitability on an annual basis since our inception, and we expect to continue to incur net losses in the future.</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fund our operations, including currently anticipated research and development activities and planned capital spending, into 2029. We carefully manage our capital resources and have sufficient controllable mitigating actions identified to manage our expenditure, including management of third-party expenses, such as timing of clinical trial activities, and internal resource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our future funding requirements will depend on many factors, including but not limited to:</w:t>
      </w:r>
    </w:p>
    <w:p>
      <w:pPr>
        <w:spacing w:after="0" w:line="13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trials taking place in the near term, preclinical programs and other related activities;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success in our early preclinical and clinical stage research programs, which will determine the amount of funding required to further the development of our product candidates;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that we make in developing new product candidates based on our proprietary ProTide technology;</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products that we may develop;</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potential patent claims;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our U.K. research and development tax credit cash rebates;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of our ProTide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and distribution capabilities;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hiring additional skilled employees to support our continued growth and the related costs of leasing additional office space.</w:t>
      </w:r>
    </w:p>
    <w:p>
      <w:pPr>
        <w:sectPr>
          <w:pgSz w:w="11900" w:h="16838" w:orient="portrait"/>
          <w:cols w:equalWidth="0" w:num="1">
            <w:col w:w="10900"/>
          </w:cols>
          <w:pgMar w:left="440" w:top="270" w:right="5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NuCana Reports First Quarter 2026 Financial Results and Provides Business Update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Final Data from Phase 2 Expansion Study of NUC-7738 Expected in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NUC-7738 Receives FDA IND Clearance: Planned Initial Studies to Focus on Melanoma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Advancing Additional Indications and Combination Strategies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Cash Runway Expected to Extend into 2029</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Edinburgh, United Kingdom, May 14, 2026 (GLOBE NEWSWIRE) - NuCana plc (NASDAQ: NCNA) (“NuCana” or the “Company”) today announced financial results for the first quarter ended March 31, 2026 and provided an update on its clinical development program with its two lead anti-cancer medicines.</w:t>
      </w:r>
    </w:p>
    <w:p>
      <w:pPr>
        <w:spacing w:after="0" w:line="17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are pleased to report continued progress in the first quarter of 2026 as NUC-7738 advances towards important clinical and regulatory milestones,” said Hugh S. Griffith, NuCana’s Founder and Chief Executive Officer. “During the quarter, we continued to advance enrollment for our Phase 2 NuTide:701 expansion study evaluating NUC-7738 in combination with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patients with PD-1 inhibitor-resistant metastatic melanoma. The clinical activity and favorable safety profile previously reported, including confirmed objective responses and prolonged disease control, continue to support the therapeutic potential of NUC-7738 in this patient population, and we look forward to reporting final data from this study, which is expected later in 2026.”</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also delighted to announce that the U.S. Food and Drug Administration (the “FDA”) cleared our Investigational New Drug application (“IND”) for NUC-7738 in April 2026. This important milestone enables clinical investigation of NUC-7738 in the United States and we expect our initial focus will be in patients with melanoma. We look forward to advancing our dialogue with the FDA to determine the optimal pathway toward a potential registrational strategy for NUC-7738 in melanoma.”</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Mr. Griffith continued, “Beyond our near-term, anticipated milestones in melanoma, we are actively exploring opportunities to broaden the clinical utility of NUC-7738 through additional indications and combination strategies. The mechanism of action of NUC-7738, disrupting RNA polyadenylation and targeting multiple aspects of the tumor microenvironment, positions it as a potentially versatile agent across a range of tumor types, and we are encouraged by the scientific rationale supporting its evaluation in new settings. We believe these efforts have the potential to significantly expand the long-term value of NUC-7738 for patients and for NuCana.”</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Griffith concluded, “Our strong balance sheet, with cash resources expected to fund operations into 2029, provides us with the financial flexibility to execute on our strategic priorities and advance our pipeline. We look forward to achieving important anticipated milestones throughout the remainder of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Anticipated Milestones</w:t>
      </w:r>
    </w:p>
    <w:p>
      <w:pPr>
        <w:spacing w:after="0" w:line="135" w:lineRule="exact"/>
        <w:rPr>
          <w:sz w:val="20"/>
          <w:szCs w:val="20"/>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NUC-7738</w:t>
      </w:r>
    </w:p>
    <w:p>
      <w:pPr>
        <w:spacing w:after="0" w:line="130" w:lineRule="exact"/>
        <w:rPr>
          <w:rFonts w:ascii="Times New Roman" w:cs="Times New Roman" w:eastAsia="Times New Roman" w:hAnsi="Times New Roman"/>
          <w:sz w:val="18"/>
          <w:szCs w:val="18"/>
          <w:color w:val="auto"/>
        </w:rPr>
      </w:pPr>
    </w:p>
    <w:p>
      <w:pPr>
        <w:ind w:left="1420" w:right="1080" w:hanging="331"/>
        <w:spacing w:after="0" w:line="282"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patient recruitment in the Phase 2 expansion study (NuTide:701) evaluating NUC-7738 in combination with pembrolizumab in patients with PD-1 inhibitor-resistant melanoma;</w:t>
      </w:r>
    </w:p>
    <w:p>
      <w:pPr>
        <w:spacing w:after="0" w:line="67"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final data from the Phase 2 expansion study (NuTide:701) of NUC-7738 in combination with pembrolizumab in patients with PD-1 inhibitor-resistant melanoma;</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guidance from the FDA regarding a potential registrational strategy for NUC-7738 in melanoma;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evaluation of additional indications and combination strategies.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NUC-3373</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evaluation of optimal combinations and indications to inform potential future clinical studies of NUC-3373.</w:t>
      </w:r>
    </w:p>
    <w:p>
      <w:pPr>
        <w:sectPr>
          <w:pgSz w:w="11900" w:h="16838" w:orient="portrait"/>
          <w:cols w:equalWidth="0" w:num="1">
            <w:col w:w="11020"/>
          </w:cols>
          <w:pgMar w:left="440" w:top="11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2026 Financial Highlights and Cash Position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at March 31, 2026, NuCana had cash and cash equivalents of £21.5 million compared to £24.3 million at December 31, 2025. NuCana anticipates its cash and cash equivalents at March 31, 2026 will be sufficient to fund its planned operations into 2029.</w:t>
      </w:r>
    </w:p>
    <w:p>
      <w:pPr>
        <w:spacing w:after="0" w:line="162"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NuCana reported a net loss of £3.9 million for the quarter ended March 31, 2026, as compared to a net loss of £2.5 million for the quarter ended March 31, 2025. The net loss for the quarter ended March 31, 2026 included non-cash share-based payment expenses of £1.9 million (2025: £0.3 million).</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Basic and diluted loss per ordinary share was £0.00 for the quarter ended March 31, 2026, as compared to a loss per ordinary share of £0.02 for the comparable quarter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NuCana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NuCana is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NuCana’s pipeline includes NUC-7738 and NUC-3373. NUC-7738 is a novel anti-cancer agent that disrupts RNA polyadenylation, profoundly impacts gene expression in cancer cells and targets multiple aspects of the tumor microenvironment. NUC-7738 is in the Phase 2 part of a Phase 1/2 study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study (NuTide:303) of NUC-3373 in combination with the PD-1 inhibitor pembrolizumab for patients with advanced solid tumors and in combination with docetaxel for patients with lung cancer, and NuCana is currently evaluating further characterization of mode of action and target indications for further clinical studies of NUC-3373.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that are based on the beliefs and assumptions and on information currently available to management of the Company. All statements other than statements of historical fact contained in this press release are forward-looking statements, including statements concerning the Company’s planned and ongoing clinical studies for the Company’s product candidates and the potential advantages of those product candidates, including NUC-7738 and NUC-3373; the initiation, enrollment, timing, progress, release of data from and results of those planned and ongoing clinical studies; the Company’s goals with respect to the development, regulatory pathway and potential use, if approved, of each of its product candidates; the utility of prior non-clinical and clinical data in determining future clinical results; and the sufficiency of the Company’s current cash and cash equivalents to fund its planned operations into 2029. In some cases, you can identify forward-looking statements by terminology such as “may,” “will,” “should,” “expects,” “plans,” “anticipates,” “believes,” “estimates,” “predicts,” “potential” or “continue” or the negative of these terms or other comparable terminology.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our ability to raise additional capital sufficient to fund our planned operations and the risks and uncertainties set forth in the “Risk Factors” section of the Company’s Annual Report on Form 20-F for the year ended December 31, 2025 filed with the Securities and Exchange Commission (“SEC”) on March 19, 2026, and subsequent reports that the Company files with the SEC. Forward-looking statements represent the Company’s beliefs and assumptions only as of the date of this press release. Although the Company believes that the expectations reflected in the forward-looking statements are reasonable, it cannot guarantee future results, levels of activity, performance or achievements. Except as required by law, the Company assumes no obligation to publicly update any forward-looking statements for any reason after the date of this press release to conform any of the forward-looking statements to actual results or to changes in its expectations.</w:t>
      </w:r>
    </w:p>
    <w:p>
      <w:pPr>
        <w:sectPr>
          <w:pgSz w:w="11900" w:h="16838" w:orient="portrait"/>
          <w:cols w:equalWidth="0" w:num="1">
            <w:col w:w="11000"/>
          </w:cols>
          <w:pgMar w:left="440" w:top="266"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Condensed Consolidated Statements of Operations</w:t>
      </w:r>
    </w:p>
    <w:p>
      <w:pPr>
        <w:spacing w:after="0" w:line="25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6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660" w:type="dxa"/>
            <w:vAlign w:val="bottom"/>
          </w:tcPr>
          <w:p>
            <w:pPr>
              <w:spacing w:after="0"/>
              <w:rPr>
                <w:sz w:val="10"/>
                <w:szCs w:val="10"/>
                <w:color w:val="auto"/>
              </w:rPr>
            </w:pPr>
          </w:p>
        </w:tc>
        <w:tc>
          <w:tcPr>
            <w:tcW w:w="2240" w:type="dxa"/>
            <w:vAlign w:val="bottom"/>
            <w:gridSpan w:val="4"/>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460" w:type="dxa"/>
            <w:vAlign w:val="bottom"/>
            <w:gridSpan w:val="3"/>
          </w:tcPr>
          <w:p>
            <w:pPr>
              <w:jc w:val="right"/>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data)</w:t>
            </w:r>
          </w:p>
        </w:tc>
        <w:tc>
          <w:tcPr>
            <w:tcW w:w="0" w:type="dxa"/>
            <w:vAlign w:val="bottom"/>
          </w:tcPr>
          <w:p>
            <w:pPr>
              <w:spacing w:after="0"/>
              <w:rPr>
                <w:sz w:val="1"/>
                <w:szCs w:val="1"/>
                <w:color w:val="auto"/>
              </w:rPr>
            </w:pPr>
          </w:p>
        </w:tc>
      </w:tr>
      <w:tr>
        <w:trPr>
          <w:trHeight w:val="173"/>
        </w:trPr>
        <w:tc>
          <w:tcPr>
            <w:tcW w:w="86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(3,213)</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(1,568)</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gains (losses)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 attributable to equity holders of the Company</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Condensed Consolidated Statements of Financial Position As At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March 31,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80" w:type="dxa"/>
            <w:vAlign w:val="bottom"/>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17"/>
        </w:trPr>
        <w:tc>
          <w:tcPr>
            <w:tcW w:w="8980" w:type="dxa"/>
            <w:vAlign w:val="bottom"/>
          </w:tcPr>
          <w:p>
            <w:pPr>
              <w:spacing w:after="0"/>
              <w:rPr>
                <w:sz w:val="10"/>
                <w:szCs w:val="10"/>
                <w:color w:val="auto"/>
              </w:rPr>
            </w:pPr>
          </w:p>
        </w:tc>
        <w:tc>
          <w:tcPr>
            <w:tcW w:w="1920" w:type="dxa"/>
            <w:vAlign w:val="bottom"/>
            <w:gridSpan w:val="4"/>
          </w:tcPr>
          <w:p>
            <w:pPr>
              <w:jc w:val="right"/>
              <w:ind w:right="432"/>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r>
      <w:tr>
        <w:trPr>
          <w:trHeight w:val="173"/>
        </w:trPr>
        <w:tc>
          <w:tcPr>
            <w:tcW w:w="898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9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accrued income and other receivables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receivable</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24,251</w:t>
            </w:r>
          </w:p>
        </w:tc>
      </w:tr>
      <w:tr>
        <w:trPr>
          <w:trHeight w:val="27"/>
        </w:trPr>
        <w:tc>
          <w:tcPr>
            <w:tcW w:w="89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26,861</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27,553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29,834</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and share premium</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189,586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189,586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83,953</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87,075</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(251,172)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(252,334)</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equity holders of the Company</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24,327</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89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and social security</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expenditure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9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4,793</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5,186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5,507</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29,834</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Condensed Consolidated Statements of Cash Flows</w:t>
      </w:r>
    </w:p>
    <w:p>
      <w:pPr>
        <w:spacing w:after="0" w:line="250"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8960" w:type="dxa"/>
            <w:vAlign w:val="bottom"/>
          </w:tcPr>
          <w:p>
            <w:pPr>
              <w:spacing w:after="0"/>
              <w:rPr>
                <w:sz w:val="13"/>
                <w:szCs w:val="13"/>
                <w:color w:val="auto"/>
              </w:rPr>
            </w:pPr>
          </w:p>
        </w:tc>
        <w:tc>
          <w:tcPr>
            <w:tcW w:w="780" w:type="dxa"/>
            <w:vAlign w:val="bottom"/>
            <w:tcBorders>
              <w:bottom w:val="single" w:sz="8" w:color="auto"/>
            </w:tcBorders>
          </w:tcPr>
          <w:p>
            <w:pPr>
              <w:jc w:val="right"/>
              <w:ind w:right="152"/>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960" w:type="dxa"/>
            <w:vAlign w:val="bottom"/>
          </w:tcPr>
          <w:p>
            <w:pPr>
              <w:spacing w:after="0"/>
              <w:rPr>
                <w:sz w:val="10"/>
                <w:szCs w:val="10"/>
                <w:color w:val="auto"/>
              </w:rPr>
            </w:pPr>
          </w:p>
        </w:tc>
        <w:tc>
          <w:tcPr>
            <w:tcW w:w="1940" w:type="dxa"/>
            <w:vAlign w:val="bottom"/>
            <w:gridSpan w:val="4"/>
          </w:tcPr>
          <w:p>
            <w:pPr>
              <w:jc w:val="right"/>
              <w:ind w:right="45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6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(3,865)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(gains) losses</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prepayments, accrued income and other receivables</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payroll taxes, social security and accrued expenditure</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(476)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operations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tax received</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 (used in) investing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lease liabilities</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 capital</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from financing activities</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60" w:type="dxa"/>
            <w:vAlign w:val="bottom"/>
            <w:vMerge w:val="continue"/>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(3,117)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6,749</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21,529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more information, please 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NuCana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Hugh S. Griffith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+44 131-357-1111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info@nucana.com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Chris.Brinzey@ICRHealthcare.com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2026-05-14T16:06:22Z</dcterms:created>
  <dcterms:modified xsi:type="dcterms:W3CDTF">2026-05-14T16:06:22Z</dcterms:modified>
</cp:coreProperties>
</file>