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-554355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-600710</wp:posOffset>
            </wp:positionV>
            <wp:extent cx="5651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045"/>
                    </a:xfrm>
                    <a:prstGeom prst="rect">
                      <a:avLst/>
                    </a:prstGeom>
                    <a:noFill/>
                  </pic:spPr>
                </pic:pic>
              </a:graphicData>
            </a:graphic>
          </wp:anchor>
        </w:drawing>
        <w:drawing>
          <wp:anchor simplePos="0" relativeHeight="251657728" behindDoc="1" locked="0" layoutInCell="0" allowOverlap="1">
            <wp:simplePos x="0" y="0"/>
            <wp:positionH relativeFrom="column">
              <wp:posOffset>3904615</wp:posOffset>
            </wp:positionH>
            <wp:positionV relativeFrom="paragraph">
              <wp:posOffset>-600710</wp:posOffset>
            </wp:positionV>
            <wp:extent cx="56515" cy="614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04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636905</wp:posOffset>
            </wp:positionV>
            <wp:extent cx="6998970" cy="405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057650"/>
                    </a:xfrm>
                    <a:prstGeom prst="rect">
                      <a:avLst/>
                    </a:prstGeom>
                    <a:noFill/>
                  </pic:spPr>
                </pic:pic>
              </a:graphicData>
            </a:graphic>
          </wp:anchor>
        </w:drawing>
      </w:r>
    </w:p>
    <w:p>
      <w:pPr>
        <w:spacing w:after="0" w:line="1015"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restart"/>
          </w:tcPr>
          <w:p>
            <w:pPr>
              <w:spacing w:after="0" w:line="227" w:lineRule="exact"/>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Bloss Jeffrey D.</w:t>
              </w:r>
            </w:hyperlink>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5"/>
          </w:tcPr>
          <w:p>
            <w:pPr>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NuCana plc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NCNA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60" w:type="dxa"/>
            <w:vAlign w:val="bottom"/>
            <w:tcBorders>
              <w:bottom w:val="single" w:sz="8" w:color="0000EE"/>
            </w:tcBorders>
            <w:gridSpan w:val="3"/>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60" w:type="dxa"/>
            <w:vAlign w:val="bottom"/>
            <w:gridSpan w:val="3"/>
          </w:tcPr>
          <w:p>
            <w:pPr>
              <w:spacing w:after="0"/>
              <w:rPr>
                <w:sz w:val="4"/>
                <w:szCs w:val="4"/>
                <w:color w:val="auto"/>
              </w:rPr>
            </w:pPr>
          </w:p>
        </w:tc>
        <w:tc>
          <w:tcPr>
            <w:tcW w:w="8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140"/>
              <w:spacing w:after="0" w:line="116"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0"/>
                <w:szCs w:val="10"/>
                <w:color w:val="auto"/>
              </w:rPr>
            </w:pPr>
          </w:p>
        </w:tc>
        <w:tc>
          <w:tcPr>
            <w:tcW w:w="1420" w:type="dxa"/>
            <w:vAlign w:val="bottom"/>
            <w:gridSpan w:val="4"/>
          </w:tcPr>
          <w:p>
            <w:pPr>
              <w:ind w:left="180"/>
              <w:spacing w:after="0" w:line="116"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Borders>
              <w:top w:val="single" w:sz="8" w:color="EEEEEE"/>
            </w:tcBorders>
          </w:tcPr>
          <w:p>
            <w:pPr>
              <w:spacing w:after="0"/>
              <w:rPr>
                <w:sz w:val="11"/>
                <w:szCs w:val="11"/>
                <w:color w:val="auto"/>
              </w:rPr>
            </w:pPr>
          </w:p>
        </w:tc>
        <w:tc>
          <w:tcPr>
            <w:tcW w:w="114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140"/>
              <w:spacing w:after="0" w:line="113"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ind w:left="180"/>
              <w:spacing w:after="0" w:line="113"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4"/>
            <w:vMerge w:val="restart"/>
          </w:tcPr>
          <w:p>
            <w:pPr>
              <w:ind w:left="480"/>
              <w:spacing w:after="0" w:line="178" w:lineRule="exact"/>
              <w:rPr>
                <w:sz w:val="20"/>
                <w:szCs w:val="20"/>
                <w:color w:val="auto"/>
              </w:rPr>
            </w:pPr>
            <w:r>
              <w:rPr>
                <w:rFonts w:ascii="Times New Roman" w:cs="Times New Roman" w:eastAsia="Times New Roman" w:hAnsi="Times New Roman"/>
                <w:sz w:val="16"/>
                <w:szCs w:val="16"/>
                <w:color w:val="0000FF"/>
              </w:rPr>
              <w:t>Chief Medical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C/O NUCANA PLC</w:t>
            </w: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gridSpan w:val="6"/>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06/19/2026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w w:val="98"/>
              </w:rPr>
              <w:t>3 LOCHSIDE WAY</w:t>
            </w: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gridSpan w:val="2"/>
          </w:tcPr>
          <w:p>
            <w:pPr>
              <w:spacing w:after="0"/>
              <w:rPr>
                <w:sz w:val="17"/>
                <w:szCs w:val="17"/>
                <w:color w:val="auto"/>
              </w:rPr>
            </w:pPr>
          </w:p>
        </w:tc>
        <w:tc>
          <w:tcPr>
            <w:tcW w:w="580" w:type="dxa"/>
            <w:vAlign w:val="bottom"/>
            <w:tcBorders>
              <w:bottom w:val="single" w:sz="8" w:color="808080"/>
            </w:tcBorders>
            <w:gridSpan w:val="2"/>
          </w:tcPr>
          <w:p>
            <w:pPr>
              <w:spacing w:after="0"/>
              <w:rPr>
                <w:sz w:val="17"/>
                <w:szCs w:val="17"/>
                <w:color w:val="auto"/>
              </w:rPr>
            </w:pPr>
          </w:p>
        </w:tc>
        <w:tc>
          <w:tcPr>
            <w:tcW w:w="1840" w:type="dxa"/>
            <w:vAlign w:val="bottom"/>
            <w:tcBorders>
              <w:bottom w:val="single" w:sz="8" w:color="808080"/>
            </w:tcBorders>
            <w:gridSpan w:val="3"/>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86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36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EDINBURGH</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X0</w:t>
            </w:r>
          </w:p>
        </w:tc>
        <w:tc>
          <w:tcPr>
            <w:tcW w:w="10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EH12 9DT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gridSpan w:val="2"/>
          </w:tcPr>
          <w:p>
            <w:pPr>
              <w:spacing w:after="0"/>
              <w:rPr>
                <w:sz w:val="6"/>
                <w:szCs w:val="6"/>
                <w:color w:val="auto"/>
              </w:rPr>
            </w:pPr>
          </w:p>
        </w:tc>
        <w:tc>
          <w:tcPr>
            <w:tcW w:w="2680" w:type="dxa"/>
            <w:vAlign w:val="bottom"/>
            <w:tcBorders>
              <w:bottom w:val="single" w:sz="8" w:color="2C2C2C"/>
            </w:tcBorders>
            <w:gridSpan w:val="6"/>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6"/>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80" w:type="dxa"/>
            <w:vAlign w:val="bottom"/>
            <w:gridSpan w:val="15"/>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ind w:right="163"/>
              <w:spacing w:after="0"/>
              <w:rPr>
                <w:sz w:val="20"/>
                <w:szCs w:val="20"/>
                <w:color w:val="auto"/>
              </w:rPr>
            </w:pPr>
            <w:r>
              <w:rPr>
                <w:rFonts w:ascii="Times New Roman" w:cs="Times New Roman" w:eastAsia="Times New Roman" w:hAnsi="Times New Roman"/>
                <w:sz w:val="12"/>
                <w:szCs w:val="12"/>
                <w:color w:val="0000FF"/>
              </w:rPr>
              <w:t>06/19/2026</w:t>
            </w:r>
          </w:p>
        </w:tc>
        <w:tc>
          <w:tcPr>
            <w:tcW w:w="1060" w:type="dxa"/>
            <w:vAlign w:val="bottom"/>
          </w:tcPr>
          <w:p>
            <w:pPr>
              <w:spacing w:after="0"/>
              <w:rPr>
                <w:sz w:val="20"/>
                <w:szCs w:val="20"/>
                <w:color w:val="auto"/>
              </w:rPr>
            </w:pPr>
          </w:p>
        </w:tc>
        <w:tc>
          <w:tcPr>
            <w:tcW w:w="820" w:type="dxa"/>
            <w:vAlign w:val="bottom"/>
            <w:gridSpan w:val="4"/>
          </w:tcPr>
          <w:p>
            <w:pPr>
              <w:ind w:left="100"/>
              <w:spacing w:after="0" w:line="235"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0000FF"/>
              </w:rPr>
              <w:t>36,539,720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Ordinary</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36,539,720</w:t>
            </w:r>
          </w:p>
        </w:tc>
        <w:tc>
          <w:tcPr>
            <w:tcW w:w="2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r>
              <w:rPr>
                <w:rFonts w:ascii="Times New Roman" w:cs="Times New Roman" w:eastAsia="Times New Roman" w:hAnsi="Times New Roman"/>
                <w:sz w:val="20"/>
                <w:szCs w:val="20"/>
                <w:color w:val="008000"/>
                <w:vertAlign w:val="superscript"/>
              </w:rPr>
              <w:t>(4)</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0000FF"/>
              </w:rPr>
              <w:t>109,619,160</w:t>
            </w:r>
          </w:p>
        </w:tc>
        <w:tc>
          <w:tcPr>
            <w:tcW w:w="6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100"/>
              <w:spacing w:after="0" w:line="136" w:lineRule="exact"/>
              <w:rPr>
                <w:sz w:val="20"/>
                <w:szCs w:val="20"/>
                <w:color w:val="auto"/>
              </w:rPr>
            </w:pPr>
            <w:r>
              <w:rPr>
                <w:rFonts w:ascii="Times New Roman" w:cs="Times New Roman" w:eastAsia="Times New Roman" w:hAnsi="Times New Roman"/>
                <w:sz w:val="12"/>
                <w:szCs w:val="12"/>
                <w:color w:val="0000FF"/>
              </w:rPr>
              <w:t>Shares</w:t>
            </w: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-1525905</wp:posOffset>
            </wp:positionV>
            <wp:extent cx="2857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53162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 - Partial cancelation of vested options.</w:t>
      </w:r>
    </w:p>
    <w:p>
      <w:pPr>
        <w:spacing w:after="0" w:line="47" w:lineRule="exact"/>
        <w:rPr>
          <w:rFonts w:ascii="Times New Roman" w:cs="Times New Roman" w:eastAsia="Times New Roman" w:hAnsi="Times New Roman"/>
          <w:sz w:val="12"/>
          <w:szCs w:val="12"/>
          <w:color w:val="008000"/>
        </w:rPr>
      </w:pPr>
    </w:p>
    <w:p>
      <w:pPr>
        <w:ind w:left="40" w:right="34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ordinary shares, nominal value 0.000004 Pounds Sterling per share (the "Ordinary Shares"), of NuCana plc (the "Company") underlying these options being canceled were part of a grant of 146,158,880 options that vested as to 25% on June 20, 2026, and had an exercise price of 0.0004 Pounds Sterling per share, with the remaining 109,619,160 to vest in three equal annual installments thereafter, subject to the Reporting Persons's continued service with the Company through the applicable vesting date.</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options will expire on June 20, 2035.</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was canceled by mutual agreement of the Reporting Person and the Company. The Reporting Person did not receive consideration for the cancellation.</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Ian Webster, Attorney-in-Fact </w:t>
      </w:r>
      <w:r>
        <w:rPr>
          <w:rFonts w:ascii="Times New Roman" w:cs="Times New Roman" w:eastAsia="Times New Roman" w:hAnsi="Times New Roman"/>
          <w:sz w:val="32"/>
          <w:szCs w:val="32"/>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3411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 Jeffrey D. Bloss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-17780</wp:posOffset>
            </wp:positionV>
            <wp:extent cx="8026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2640" cy="762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-80010</wp:posOffset>
            </wp:positionV>
            <wp:extent cx="4648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569" TargetMode="External"/><Relationship Id="rId14" Type="http://schemas.openxmlformats.org/officeDocument/2006/relationships/hyperlink" Target="http://www.sec.gov/cgi-bin/browse-edgar?action=getcompany&amp;CIK=0001709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2026-06-23T17:56:16Z</dcterms:created>
  <dcterms:modified xsi:type="dcterms:W3CDTF">2026-06-23T17:56:16Z</dcterms:modified>
</cp:coreProperties>
</file>